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p>
    <w:p w14:paraId="0D9B97FF" w14:textId="56A2C2D5" w:rsidR="008B50BA" w:rsidRPr="00652ACE" w:rsidRDefault="00860655" w:rsidP="008B50BA">
      <w:pPr>
        <w:pStyle w:val="FFLMainHeader"/>
        <w:rPr>
          <w:rFonts w:ascii="Arial MT Light" w:hAnsi="Arial MT Light"/>
          <w:b/>
          <w:u w:val="none"/>
        </w:rPr>
      </w:pPr>
      <w:r>
        <w:rPr>
          <w:b/>
          <w:u w:val="none"/>
        </w:rPr>
        <w:t>Teaching the curriculum</w:t>
      </w:r>
      <w:r w:rsidR="004C3607">
        <w:rPr>
          <w:b/>
          <w:u w:val="none"/>
        </w:rPr>
        <w:t xml:space="preserve"> -</w:t>
      </w:r>
      <w:r w:rsidR="008B50BA" w:rsidRPr="00652ACE">
        <w:rPr>
          <w:b/>
          <w:u w:val="none"/>
        </w:rPr>
        <w:t xml:space="preserve"> </w:t>
      </w:r>
      <w:r w:rsidR="004C3607">
        <w:rPr>
          <w:b/>
          <w:u w:val="none"/>
        </w:rPr>
        <w:t>reflection</w:t>
      </w:r>
    </w:p>
    <w:p w14:paraId="2522BB4C" w14:textId="4B25EA12" w:rsidR="00652ACE" w:rsidRPr="009175C6" w:rsidRDefault="008B50BA" w:rsidP="008B0FB5">
      <w:pPr>
        <w:pStyle w:val="Default"/>
        <w:rPr>
          <w:rFonts w:ascii="Arial" w:hAnsi="Arial" w:cs="Arial"/>
          <w:sz w:val="20"/>
        </w:rPr>
      </w:pPr>
      <w:r>
        <w:rPr>
          <w:color w:val="000000" w:themeColor="text1"/>
          <w:sz w:val="20"/>
          <w:szCs w:val="20"/>
        </w:rPr>
        <w:br/>
      </w:r>
      <w:r w:rsidR="009175C6" w:rsidRPr="009175C6">
        <w:rPr>
          <w:rFonts w:ascii="Arial" w:hAnsi="Arial" w:cs="Arial"/>
          <w:sz w:val="20"/>
        </w:rPr>
        <w:t xml:space="preserve">A characteristic of good practice in secondary schools is that teaching should reflect the curriculum, with due regard to progression from prior learning. Where appropriate, the national Core competences for children and young people </w:t>
      </w:r>
      <w:proofErr w:type="gramStart"/>
      <w:r w:rsidR="009175C6" w:rsidRPr="009175C6">
        <w:rPr>
          <w:rFonts w:ascii="Arial" w:hAnsi="Arial" w:cs="Arial"/>
          <w:sz w:val="20"/>
        </w:rPr>
        <w:t>are referenced</w:t>
      </w:r>
      <w:proofErr w:type="gramEnd"/>
      <w:r w:rsidR="009175C6" w:rsidRPr="009175C6">
        <w:rPr>
          <w:rFonts w:ascii="Arial" w:hAnsi="Arial" w:cs="Arial"/>
          <w:sz w:val="20"/>
        </w:rPr>
        <w:t>.</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2722"/>
        <w:gridCol w:w="8478"/>
        <w:gridCol w:w="2126"/>
        <w:gridCol w:w="2409"/>
      </w:tblGrid>
      <w:tr w:rsidR="004C3607" w:rsidRPr="003036DA" w14:paraId="2FBD1BD5" w14:textId="77777777" w:rsidTr="005F247D">
        <w:tc>
          <w:tcPr>
            <w:tcW w:w="11200" w:type="dxa"/>
            <w:gridSpan w:val="2"/>
          </w:tcPr>
          <w:p w14:paraId="3DCF3DFD" w14:textId="09477494" w:rsidR="004C3607" w:rsidRPr="003036DA" w:rsidRDefault="008B0FB5" w:rsidP="004C3607">
            <w:pPr>
              <w:pStyle w:val="NoSpacing"/>
              <w:rPr>
                <w:rFonts w:ascii="Arial" w:hAnsi="Arial" w:cs="Arial"/>
                <w:b/>
                <w:sz w:val="20"/>
                <w:szCs w:val="20"/>
              </w:rPr>
            </w:pPr>
            <w:r w:rsidRPr="003036DA">
              <w:rPr>
                <w:rStyle w:val="A4"/>
                <w:rFonts w:ascii="Arial" w:hAnsi="Arial" w:cs="Arial"/>
                <w:b/>
                <w:sz w:val="20"/>
                <w:szCs w:val="20"/>
              </w:rPr>
              <w:t>Putting the characteristic into practice</w:t>
            </w:r>
          </w:p>
        </w:tc>
        <w:tc>
          <w:tcPr>
            <w:tcW w:w="2126" w:type="dxa"/>
          </w:tcPr>
          <w:p w14:paraId="5289F0B8" w14:textId="77777777" w:rsidR="004C3607" w:rsidRPr="003036DA" w:rsidRDefault="004C3607" w:rsidP="004C3607">
            <w:pPr>
              <w:pStyle w:val="NoSpacing"/>
              <w:rPr>
                <w:rFonts w:ascii="Arial" w:hAnsi="Arial" w:cs="Arial"/>
                <w:b/>
                <w:sz w:val="20"/>
                <w:szCs w:val="20"/>
              </w:rPr>
            </w:pPr>
            <w:r w:rsidRPr="003036DA">
              <w:rPr>
                <w:rFonts w:ascii="Arial" w:hAnsi="Arial" w:cs="Arial"/>
                <w:b/>
                <w:sz w:val="20"/>
                <w:szCs w:val="20"/>
              </w:rPr>
              <w:t>Personal reflection</w:t>
            </w:r>
          </w:p>
        </w:tc>
        <w:tc>
          <w:tcPr>
            <w:tcW w:w="2409" w:type="dxa"/>
          </w:tcPr>
          <w:p w14:paraId="10E4AC92" w14:textId="77777777" w:rsidR="004C3607" w:rsidRPr="003036DA" w:rsidRDefault="004C3607" w:rsidP="004C3607">
            <w:pPr>
              <w:pStyle w:val="NoSpacing"/>
              <w:rPr>
                <w:rFonts w:ascii="Arial" w:hAnsi="Arial" w:cs="Arial"/>
                <w:b/>
                <w:sz w:val="20"/>
                <w:szCs w:val="20"/>
              </w:rPr>
            </w:pPr>
            <w:r w:rsidRPr="003036DA">
              <w:rPr>
                <w:rFonts w:ascii="Arial" w:hAnsi="Arial" w:cs="Arial"/>
                <w:b/>
                <w:sz w:val="20"/>
                <w:szCs w:val="20"/>
              </w:rPr>
              <w:t>My actions</w:t>
            </w:r>
          </w:p>
        </w:tc>
      </w:tr>
      <w:tr w:rsidR="004C3607" w:rsidRPr="003036DA" w14:paraId="48CA439F" w14:textId="77777777" w:rsidTr="005F247D">
        <w:tc>
          <w:tcPr>
            <w:tcW w:w="2722" w:type="dxa"/>
          </w:tcPr>
          <w:p w14:paraId="04E1761A" w14:textId="30C791D0" w:rsidR="00090989" w:rsidRPr="003036DA" w:rsidRDefault="003036DA" w:rsidP="004C3607">
            <w:pPr>
              <w:pStyle w:val="NoSpacing"/>
              <w:rPr>
                <w:rFonts w:ascii="Arial" w:hAnsi="Arial" w:cs="Arial"/>
                <w:b/>
                <w:sz w:val="20"/>
                <w:szCs w:val="20"/>
              </w:rPr>
            </w:pPr>
            <w:r w:rsidRPr="003036DA">
              <w:rPr>
                <w:rStyle w:val="Strong"/>
                <w:rFonts w:ascii="Arial" w:hAnsi="Arial" w:cs="Arial"/>
                <w:b w:val="0"/>
                <w:sz w:val="20"/>
                <w:szCs w:val="20"/>
              </w:rPr>
              <w:t>Staff plan for learner progress through Schemes of Work and lessons, with consideration given to learner capabilities, prior knowledge and differentiation</w:t>
            </w:r>
          </w:p>
        </w:tc>
        <w:tc>
          <w:tcPr>
            <w:tcW w:w="8478" w:type="dxa"/>
          </w:tcPr>
          <w:p w14:paraId="6A5884D4"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 xml:space="preserve">Complete short, medium and long-term planning, review regularly and update as necessary. Ensure the curriculum </w:t>
            </w:r>
            <w:proofErr w:type="gramStart"/>
            <w:r w:rsidRPr="003036DA">
              <w:rPr>
                <w:rFonts w:ascii="Arial" w:eastAsia="Times New Roman" w:hAnsi="Arial" w:cs="Arial"/>
                <w:sz w:val="20"/>
                <w:szCs w:val="20"/>
                <w:lang w:eastAsia="en-GB"/>
              </w:rPr>
              <w:t>is covered</w:t>
            </w:r>
            <w:proofErr w:type="gramEnd"/>
            <w:r w:rsidRPr="003036DA">
              <w:rPr>
                <w:rFonts w:ascii="Arial" w:eastAsia="Times New Roman" w:hAnsi="Arial" w:cs="Arial"/>
                <w:sz w:val="20"/>
                <w:szCs w:val="20"/>
                <w:lang w:eastAsia="en-GB"/>
              </w:rPr>
              <w:t xml:space="preserve"> progressively.</w:t>
            </w:r>
          </w:p>
          <w:p w14:paraId="60ECAF53" w14:textId="38F59C66"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Establish what skills, knowledge an</w:t>
            </w:r>
            <w:r>
              <w:rPr>
                <w:rFonts w:ascii="Arial" w:eastAsia="Times New Roman" w:hAnsi="Arial" w:cs="Arial"/>
                <w:sz w:val="20"/>
                <w:szCs w:val="20"/>
                <w:lang w:eastAsia="en-GB"/>
              </w:rPr>
              <w:t xml:space="preserve">d understanding learners should </w:t>
            </w:r>
            <w:r w:rsidRPr="003036DA">
              <w:rPr>
                <w:rFonts w:ascii="Arial" w:eastAsia="Times New Roman" w:hAnsi="Arial" w:cs="Arial"/>
                <w:sz w:val="20"/>
                <w:szCs w:val="20"/>
                <w:lang w:eastAsia="en-GB"/>
              </w:rPr>
              <w:t>demonstrate based on the Core competencies for young people – plan learning, not outcomes.</w:t>
            </w:r>
          </w:p>
          <w:p w14:paraId="730EFC15"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 xml:space="preserve">Ensure that </w:t>
            </w:r>
            <w:proofErr w:type="gramStart"/>
            <w:r w:rsidRPr="003036DA">
              <w:rPr>
                <w:rFonts w:ascii="Arial" w:eastAsia="Times New Roman" w:hAnsi="Arial" w:cs="Arial"/>
                <w:sz w:val="20"/>
                <w:szCs w:val="20"/>
                <w:lang w:eastAsia="en-GB"/>
              </w:rPr>
              <w:t>Schemes of Work are not driven by recipes, but the underpinning knowledge and skills</w:t>
            </w:r>
            <w:proofErr w:type="gramEnd"/>
            <w:r w:rsidRPr="003036DA">
              <w:rPr>
                <w:rFonts w:ascii="Arial" w:eastAsia="Times New Roman" w:hAnsi="Arial" w:cs="Arial"/>
                <w:sz w:val="20"/>
                <w:szCs w:val="20"/>
                <w:lang w:eastAsia="en-GB"/>
              </w:rPr>
              <w:t>.</w:t>
            </w:r>
          </w:p>
          <w:p w14:paraId="20E9B847"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 xml:space="preserve">Plan for progression. Learner’s knowledge and application of </w:t>
            </w:r>
            <w:proofErr w:type="gramStart"/>
            <w:r w:rsidRPr="003036DA">
              <w:rPr>
                <w:rFonts w:ascii="Arial" w:eastAsia="Times New Roman" w:hAnsi="Arial" w:cs="Arial"/>
                <w:sz w:val="20"/>
                <w:szCs w:val="20"/>
                <w:lang w:eastAsia="en-GB"/>
              </w:rPr>
              <w:t>healthy eating, cooking and where food comes from</w:t>
            </w:r>
            <w:proofErr w:type="gramEnd"/>
            <w:r w:rsidRPr="003036DA">
              <w:rPr>
                <w:rFonts w:ascii="Arial" w:eastAsia="Times New Roman" w:hAnsi="Arial" w:cs="Arial"/>
                <w:sz w:val="20"/>
                <w:szCs w:val="20"/>
                <w:lang w:eastAsia="en-GB"/>
              </w:rPr>
              <w:t xml:space="preserve"> should be built upon throughout their food and nutrition education.</w:t>
            </w:r>
          </w:p>
          <w:p w14:paraId="414F3F01"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Share the learning intent.</w:t>
            </w:r>
          </w:p>
          <w:p w14:paraId="1830E095"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Make sure that risk assessments are an integral part of your planning activities. They should be specific to the environment and learners.</w:t>
            </w:r>
          </w:p>
          <w:p w14:paraId="26247817"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proofErr w:type="gramStart"/>
            <w:r w:rsidRPr="003036DA">
              <w:rPr>
                <w:rFonts w:ascii="Arial" w:eastAsia="Times New Roman" w:hAnsi="Arial" w:cs="Arial"/>
                <w:sz w:val="20"/>
                <w:szCs w:val="20"/>
                <w:lang w:eastAsia="en-GB"/>
              </w:rPr>
              <w:t>Take budget into account</w:t>
            </w:r>
            <w:proofErr w:type="gramEnd"/>
            <w:r w:rsidRPr="003036DA">
              <w:rPr>
                <w:rFonts w:ascii="Arial" w:eastAsia="Times New Roman" w:hAnsi="Arial" w:cs="Arial"/>
                <w:sz w:val="20"/>
                <w:szCs w:val="20"/>
                <w:lang w:eastAsia="en-GB"/>
              </w:rPr>
              <w:t xml:space="preserve"> when planning Schemes of Work.</w:t>
            </w:r>
          </w:p>
          <w:p w14:paraId="298DF864" w14:textId="459F0B0D" w:rsidR="008B0FB5" w:rsidRPr="003036DA" w:rsidRDefault="008B0FB5" w:rsidP="003036DA">
            <w:pPr>
              <w:pStyle w:val="NoSpacing"/>
              <w:numPr>
                <w:ilvl w:val="0"/>
                <w:numId w:val="22"/>
              </w:numPr>
              <w:ind w:left="178" w:hanging="142"/>
              <w:rPr>
                <w:rStyle w:val="A5"/>
                <w:rFonts w:ascii="Arial" w:eastAsia="Times New Roman" w:hAnsi="Arial" w:cs="Arial"/>
                <w:color w:val="auto"/>
                <w:sz w:val="20"/>
                <w:szCs w:val="20"/>
                <w:lang w:eastAsia="en-GB"/>
              </w:rPr>
            </w:pPr>
            <w:r w:rsidRPr="003036DA">
              <w:rPr>
                <w:rStyle w:val="A5"/>
                <w:rFonts w:ascii="Arial" w:hAnsi="Arial" w:cs="Arial"/>
                <w:sz w:val="20"/>
                <w:szCs w:val="20"/>
              </w:rPr>
              <w:t>Other:</w:t>
            </w:r>
          </w:p>
          <w:p w14:paraId="702EF896" w14:textId="0560BD2B" w:rsidR="008B0FB5" w:rsidRPr="003036DA" w:rsidRDefault="008B0FB5" w:rsidP="003036DA">
            <w:pPr>
              <w:pStyle w:val="NoSpacing"/>
              <w:ind w:left="178" w:hanging="142"/>
              <w:rPr>
                <w:rFonts w:ascii="Arial" w:eastAsia="Times New Roman" w:hAnsi="Arial" w:cs="Arial"/>
                <w:sz w:val="20"/>
                <w:szCs w:val="20"/>
                <w:lang w:eastAsia="en-GB"/>
              </w:rPr>
            </w:pPr>
          </w:p>
          <w:p w14:paraId="46B2EF2F" w14:textId="4F6723E7" w:rsidR="001E183E" w:rsidRPr="003036DA" w:rsidRDefault="001E183E" w:rsidP="003036DA">
            <w:pPr>
              <w:pStyle w:val="NoSpacing"/>
              <w:rPr>
                <w:rFonts w:ascii="Arial" w:eastAsia="Times New Roman" w:hAnsi="Arial" w:cs="Arial"/>
                <w:sz w:val="20"/>
                <w:szCs w:val="20"/>
                <w:lang w:eastAsia="en-GB"/>
              </w:rPr>
            </w:pPr>
          </w:p>
        </w:tc>
        <w:tc>
          <w:tcPr>
            <w:tcW w:w="2126" w:type="dxa"/>
          </w:tcPr>
          <w:p w14:paraId="598EA614" w14:textId="77777777" w:rsidR="004C3607" w:rsidRPr="003036DA" w:rsidRDefault="004C3607" w:rsidP="004C3607">
            <w:pPr>
              <w:pStyle w:val="NoSpacing"/>
              <w:rPr>
                <w:rFonts w:ascii="Arial" w:hAnsi="Arial" w:cs="Arial"/>
                <w:sz w:val="20"/>
                <w:szCs w:val="20"/>
              </w:rPr>
            </w:pPr>
          </w:p>
        </w:tc>
        <w:tc>
          <w:tcPr>
            <w:tcW w:w="2409" w:type="dxa"/>
          </w:tcPr>
          <w:p w14:paraId="50863C75" w14:textId="77777777" w:rsidR="004C3607" w:rsidRPr="003036DA" w:rsidRDefault="004C3607" w:rsidP="004C3607">
            <w:pPr>
              <w:pStyle w:val="NoSpacing"/>
              <w:rPr>
                <w:rFonts w:ascii="Arial" w:hAnsi="Arial" w:cs="Arial"/>
                <w:sz w:val="20"/>
                <w:szCs w:val="20"/>
              </w:rPr>
            </w:pPr>
          </w:p>
        </w:tc>
      </w:tr>
      <w:tr w:rsidR="004C3607" w:rsidRPr="003036DA" w14:paraId="674E7494" w14:textId="77777777" w:rsidTr="005F247D">
        <w:tc>
          <w:tcPr>
            <w:tcW w:w="2722" w:type="dxa"/>
          </w:tcPr>
          <w:p w14:paraId="129112EA" w14:textId="3153F40E" w:rsidR="004C3607" w:rsidRPr="003036DA" w:rsidRDefault="003036DA" w:rsidP="004C3607">
            <w:pPr>
              <w:pStyle w:val="NoSpacing"/>
              <w:rPr>
                <w:rFonts w:ascii="Arial" w:hAnsi="Arial" w:cs="Arial"/>
                <w:b/>
                <w:sz w:val="20"/>
                <w:szCs w:val="20"/>
              </w:rPr>
            </w:pPr>
            <w:r w:rsidRPr="003036DA">
              <w:rPr>
                <w:rStyle w:val="Strong"/>
                <w:rFonts w:ascii="Arial" w:hAnsi="Arial" w:cs="Arial"/>
                <w:b w:val="0"/>
                <w:sz w:val="20"/>
                <w:szCs w:val="20"/>
              </w:rPr>
              <w:t>Staff comprehend the relevance of the curriculum in a variety of settings, such as other curriculum areas, everyday life and future career aspirations of learners</w:t>
            </w:r>
          </w:p>
        </w:tc>
        <w:tc>
          <w:tcPr>
            <w:tcW w:w="8478" w:type="dxa"/>
          </w:tcPr>
          <w:p w14:paraId="2BFD988E" w14:textId="77777777" w:rsidR="003036DA" w:rsidRPr="003036DA" w:rsidRDefault="003036DA" w:rsidP="003036DA">
            <w:pPr>
              <w:spacing w:after="100" w:afterAutospacing="1"/>
              <w:rPr>
                <w:rFonts w:ascii="Arial" w:eastAsia="Times New Roman" w:hAnsi="Arial" w:cs="Arial"/>
                <w:sz w:val="20"/>
                <w:szCs w:val="20"/>
                <w:lang w:eastAsia="en-GB"/>
              </w:rPr>
            </w:pPr>
            <w:r w:rsidRPr="003036DA">
              <w:rPr>
                <w:rFonts w:ascii="Arial" w:eastAsia="Times New Roman" w:hAnsi="Arial" w:cs="Arial"/>
                <w:sz w:val="20"/>
                <w:szCs w:val="20"/>
                <w:lang w:eastAsia="en-GB"/>
              </w:rPr>
              <w:t>When planning and delivering food and nutrition education, ensure integration with, for example:</w:t>
            </w:r>
          </w:p>
          <w:p w14:paraId="3AD25C0C" w14:textId="77777777" w:rsidR="003036DA" w:rsidRPr="003036DA" w:rsidRDefault="003036DA" w:rsidP="003036DA">
            <w:pPr>
              <w:numPr>
                <w:ilvl w:val="0"/>
                <w:numId w:val="22"/>
              </w:numPr>
              <w:spacing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STEM;</w:t>
            </w:r>
          </w:p>
          <w:p w14:paraId="332217BF" w14:textId="77777777" w:rsidR="003036DA" w:rsidRPr="003036DA" w:rsidRDefault="003036DA" w:rsidP="003036DA">
            <w:pPr>
              <w:numPr>
                <w:ilvl w:val="0"/>
                <w:numId w:val="22"/>
              </w:numPr>
              <w:spacing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numeracy and literacy;</w:t>
            </w:r>
          </w:p>
          <w:p w14:paraId="3DF5B6A1" w14:textId="77777777" w:rsidR="003036DA" w:rsidRPr="003036DA" w:rsidRDefault="003036DA" w:rsidP="003036DA">
            <w:pPr>
              <w:numPr>
                <w:ilvl w:val="0"/>
                <w:numId w:val="22"/>
              </w:numPr>
              <w:spacing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science;</w:t>
            </w:r>
          </w:p>
          <w:p w14:paraId="166C19D4" w14:textId="77777777" w:rsidR="003036DA" w:rsidRPr="003036DA" w:rsidRDefault="003036DA" w:rsidP="003036DA">
            <w:pPr>
              <w:numPr>
                <w:ilvl w:val="0"/>
                <w:numId w:val="22"/>
              </w:numPr>
              <w:spacing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current news and events;</w:t>
            </w:r>
          </w:p>
          <w:p w14:paraId="4C279D9A" w14:textId="5DD0BD56" w:rsidR="003036DA" w:rsidRDefault="003036DA" w:rsidP="003036DA">
            <w:pPr>
              <w:numPr>
                <w:ilvl w:val="0"/>
                <w:numId w:val="22"/>
              </w:numPr>
              <w:spacing w:after="100" w:afterAutospacing="1"/>
              <w:ind w:left="178" w:hanging="142"/>
              <w:rPr>
                <w:rFonts w:ascii="Arial" w:eastAsia="Times New Roman" w:hAnsi="Arial" w:cs="Arial"/>
                <w:sz w:val="20"/>
                <w:szCs w:val="20"/>
                <w:lang w:eastAsia="en-GB"/>
              </w:rPr>
            </w:pPr>
            <w:proofErr w:type="gramStart"/>
            <w:r w:rsidRPr="003036DA">
              <w:rPr>
                <w:rFonts w:ascii="Arial" w:eastAsia="Times New Roman" w:hAnsi="Arial" w:cs="Arial"/>
                <w:sz w:val="20"/>
                <w:szCs w:val="20"/>
                <w:lang w:eastAsia="en-GB"/>
              </w:rPr>
              <w:t>personal</w:t>
            </w:r>
            <w:proofErr w:type="gramEnd"/>
            <w:r w:rsidRPr="003036DA">
              <w:rPr>
                <w:rFonts w:ascii="Arial" w:eastAsia="Times New Roman" w:hAnsi="Arial" w:cs="Arial"/>
                <w:sz w:val="20"/>
                <w:szCs w:val="20"/>
                <w:lang w:eastAsia="en-GB"/>
              </w:rPr>
              <w:t xml:space="preserve"> health and wellbeing.</w:t>
            </w:r>
          </w:p>
          <w:p w14:paraId="2BFC8601" w14:textId="77777777" w:rsidR="003036DA" w:rsidRDefault="003036DA" w:rsidP="003036DA">
            <w:pPr>
              <w:ind w:left="178"/>
              <w:rPr>
                <w:rFonts w:ascii="Arial" w:eastAsia="Times New Roman" w:hAnsi="Arial" w:cs="Arial"/>
                <w:sz w:val="20"/>
                <w:szCs w:val="20"/>
                <w:lang w:eastAsia="en-GB"/>
              </w:rPr>
            </w:pPr>
          </w:p>
          <w:p w14:paraId="23799407" w14:textId="49BADED8" w:rsidR="003036DA" w:rsidRPr="003036DA" w:rsidRDefault="003036DA" w:rsidP="003036DA">
            <w:pPr>
              <w:pStyle w:val="ListParagraph"/>
              <w:numPr>
                <w:ilvl w:val="0"/>
                <w:numId w:val="22"/>
              </w:numPr>
              <w:spacing w:before="100" w:beforeAutospacing="1" w:after="0"/>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lastRenderedPageBreak/>
              <w:t>Investigate and promote the range of career opportunities in the food industry. Invite professionals to speak to learners about their roles.</w:t>
            </w:r>
          </w:p>
          <w:p w14:paraId="395D9D2B" w14:textId="7567A032"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Other</w:t>
            </w:r>
          </w:p>
        </w:tc>
        <w:tc>
          <w:tcPr>
            <w:tcW w:w="2126" w:type="dxa"/>
          </w:tcPr>
          <w:p w14:paraId="576348C5" w14:textId="77777777" w:rsidR="004C3607" w:rsidRPr="003036DA" w:rsidRDefault="004C3607" w:rsidP="004C3607">
            <w:pPr>
              <w:pStyle w:val="NoSpacing"/>
              <w:rPr>
                <w:rFonts w:ascii="Arial" w:hAnsi="Arial" w:cs="Arial"/>
                <w:sz w:val="20"/>
                <w:szCs w:val="20"/>
              </w:rPr>
            </w:pPr>
          </w:p>
        </w:tc>
        <w:tc>
          <w:tcPr>
            <w:tcW w:w="2409" w:type="dxa"/>
          </w:tcPr>
          <w:p w14:paraId="16EB98B7" w14:textId="77777777" w:rsidR="004C3607" w:rsidRPr="003036DA" w:rsidRDefault="004C3607" w:rsidP="004C3607">
            <w:pPr>
              <w:pStyle w:val="NoSpacing"/>
              <w:rPr>
                <w:rFonts w:ascii="Arial" w:hAnsi="Arial" w:cs="Arial"/>
                <w:sz w:val="20"/>
                <w:szCs w:val="20"/>
              </w:rPr>
            </w:pPr>
          </w:p>
        </w:tc>
      </w:tr>
      <w:tr w:rsidR="004C3607" w:rsidRPr="003036DA" w14:paraId="1D9F047C" w14:textId="77777777" w:rsidTr="005F247D">
        <w:tc>
          <w:tcPr>
            <w:tcW w:w="2722" w:type="dxa"/>
          </w:tcPr>
          <w:p w14:paraId="3F247F79" w14:textId="58ECDD2D" w:rsidR="004C3607" w:rsidRPr="003036DA" w:rsidRDefault="003036DA" w:rsidP="004C3607">
            <w:pPr>
              <w:pStyle w:val="NoSpacing"/>
              <w:rPr>
                <w:rFonts w:ascii="Arial" w:hAnsi="Arial" w:cs="Arial"/>
                <w:b/>
                <w:sz w:val="20"/>
                <w:szCs w:val="20"/>
              </w:rPr>
            </w:pPr>
            <w:r w:rsidRPr="003036DA">
              <w:rPr>
                <w:rStyle w:val="Strong"/>
                <w:rFonts w:ascii="Arial" w:hAnsi="Arial" w:cs="Arial"/>
                <w:b w:val="0"/>
                <w:sz w:val="20"/>
                <w:szCs w:val="20"/>
              </w:rPr>
              <w:t>Staff engage in a variety of teaching and learning styles, activities and tasks</w:t>
            </w:r>
          </w:p>
        </w:tc>
        <w:tc>
          <w:tcPr>
            <w:tcW w:w="8478" w:type="dxa"/>
          </w:tcPr>
          <w:p w14:paraId="0BD15EBE"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Make effective use of ICT helping learners to utilise their knowledge</w:t>
            </w:r>
            <w:r w:rsidRPr="003036DA">
              <w:rPr>
                <w:rFonts w:ascii="Arial" w:eastAsia="Times New Roman" w:hAnsi="Arial" w:cs="Arial"/>
                <w:sz w:val="20"/>
                <w:szCs w:val="20"/>
                <w:lang w:eastAsia="en-GB"/>
              </w:rPr>
              <w:br/>
              <w:t>and skills.</w:t>
            </w:r>
          </w:p>
          <w:p w14:paraId="7A2C67DA"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Use a range of different activities that engage learners, make content relevant and allow progression. Include practical activities, nutritional analysis, sensory evaluation, group, individual and independent work and use of a variety of online media, e.g. videos, blogs, web searches.</w:t>
            </w:r>
          </w:p>
          <w:p w14:paraId="14990551" w14:textId="7D5DB6C2" w:rsid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Make sure that staff, peer and self-assessment is relevant, regular and constructive.</w:t>
            </w:r>
          </w:p>
          <w:p w14:paraId="0F3925AB" w14:textId="4393DA1D"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Pr>
                <w:rFonts w:ascii="Arial" w:eastAsia="Times New Roman" w:hAnsi="Arial" w:cs="Arial"/>
                <w:sz w:val="20"/>
                <w:szCs w:val="20"/>
                <w:lang w:eastAsia="en-GB"/>
              </w:rPr>
              <w:t>Other:</w:t>
            </w:r>
          </w:p>
          <w:p w14:paraId="0F992529" w14:textId="0FD3A511" w:rsidR="001E183E" w:rsidRPr="003036DA" w:rsidRDefault="001E183E" w:rsidP="003036DA">
            <w:pPr>
              <w:pStyle w:val="NoSpacing"/>
              <w:ind w:left="178" w:hanging="142"/>
              <w:rPr>
                <w:rFonts w:ascii="Arial" w:eastAsia="Times New Roman" w:hAnsi="Arial" w:cs="Arial"/>
                <w:sz w:val="20"/>
                <w:szCs w:val="20"/>
                <w:lang w:eastAsia="en-GB"/>
              </w:rPr>
            </w:pPr>
          </w:p>
        </w:tc>
        <w:tc>
          <w:tcPr>
            <w:tcW w:w="2126" w:type="dxa"/>
          </w:tcPr>
          <w:p w14:paraId="01334A0C" w14:textId="77777777" w:rsidR="004C3607" w:rsidRPr="003036DA" w:rsidRDefault="004C3607" w:rsidP="004C3607">
            <w:pPr>
              <w:pStyle w:val="NoSpacing"/>
              <w:rPr>
                <w:rFonts w:ascii="Arial" w:hAnsi="Arial" w:cs="Arial"/>
                <w:sz w:val="20"/>
                <w:szCs w:val="20"/>
              </w:rPr>
            </w:pPr>
          </w:p>
        </w:tc>
        <w:tc>
          <w:tcPr>
            <w:tcW w:w="2409" w:type="dxa"/>
          </w:tcPr>
          <w:p w14:paraId="27AC7205" w14:textId="77777777" w:rsidR="004C3607" w:rsidRPr="003036DA" w:rsidRDefault="004C3607" w:rsidP="004C3607">
            <w:pPr>
              <w:pStyle w:val="NoSpacing"/>
              <w:rPr>
                <w:rFonts w:ascii="Arial" w:hAnsi="Arial" w:cs="Arial"/>
                <w:sz w:val="20"/>
                <w:szCs w:val="20"/>
              </w:rPr>
            </w:pPr>
          </w:p>
        </w:tc>
      </w:tr>
      <w:tr w:rsidR="004C3607" w:rsidRPr="003036DA" w14:paraId="403B595C" w14:textId="77777777" w:rsidTr="005F247D">
        <w:tc>
          <w:tcPr>
            <w:tcW w:w="2722" w:type="dxa"/>
          </w:tcPr>
          <w:p w14:paraId="787BBFC7" w14:textId="2D04A1D8" w:rsidR="004C3607" w:rsidRPr="003036DA" w:rsidRDefault="003036DA" w:rsidP="004C3607">
            <w:pPr>
              <w:pStyle w:val="NoSpacing"/>
              <w:rPr>
                <w:rFonts w:ascii="Arial" w:hAnsi="Arial" w:cs="Arial"/>
                <w:b/>
                <w:sz w:val="20"/>
                <w:szCs w:val="20"/>
              </w:rPr>
            </w:pPr>
            <w:r w:rsidRPr="003036DA">
              <w:rPr>
                <w:rStyle w:val="Strong"/>
                <w:rFonts w:ascii="Arial" w:hAnsi="Arial" w:cs="Arial"/>
                <w:b w:val="0"/>
                <w:sz w:val="20"/>
                <w:szCs w:val="20"/>
              </w:rPr>
              <w:t>Staff use suitable and engaging resources to achieve learning intent</w:t>
            </w:r>
          </w:p>
        </w:tc>
        <w:tc>
          <w:tcPr>
            <w:tcW w:w="8478" w:type="dxa"/>
          </w:tcPr>
          <w:p w14:paraId="44620974"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Plan and use resources that are up-to-date and based on accurate, reliable, evidence-based sources of information.</w:t>
            </w:r>
          </w:p>
          <w:p w14:paraId="00117944"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Use resources that facilitate learning intent and meet the needs of learners.</w:t>
            </w:r>
          </w:p>
          <w:p w14:paraId="3965DC2D"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Ensure resources are challenging and extend learning where appropriate.</w:t>
            </w:r>
          </w:p>
          <w:p w14:paraId="57F46007" w14:textId="046EE724" w:rsidR="004C3607" w:rsidRPr="003036DA" w:rsidRDefault="004C3607" w:rsidP="003036DA">
            <w:pPr>
              <w:pStyle w:val="NoSpacing"/>
              <w:numPr>
                <w:ilvl w:val="0"/>
                <w:numId w:val="22"/>
              </w:numPr>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Other:</w:t>
            </w:r>
          </w:p>
          <w:p w14:paraId="2F33FA5E" w14:textId="77777777" w:rsidR="00090989" w:rsidRDefault="00090989" w:rsidP="003036DA">
            <w:pPr>
              <w:pStyle w:val="NoSpacing"/>
              <w:ind w:left="178" w:hanging="142"/>
              <w:rPr>
                <w:rFonts w:ascii="Arial" w:eastAsia="Times New Roman" w:hAnsi="Arial" w:cs="Arial"/>
                <w:sz w:val="20"/>
                <w:szCs w:val="20"/>
                <w:lang w:eastAsia="en-GB"/>
              </w:rPr>
            </w:pPr>
          </w:p>
          <w:p w14:paraId="32B52274" w14:textId="3F6F62F4" w:rsidR="003036DA" w:rsidRPr="003036DA" w:rsidRDefault="003036DA" w:rsidP="003036DA">
            <w:pPr>
              <w:pStyle w:val="NoSpacing"/>
              <w:ind w:left="178" w:hanging="142"/>
              <w:rPr>
                <w:rFonts w:ascii="Arial" w:eastAsia="Times New Roman" w:hAnsi="Arial" w:cs="Arial"/>
                <w:sz w:val="20"/>
                <w:szCs w:val="20"/>
                <w:lang w:eastAsia="en-GB"/>
              </w:rPr>
            </w:pPr>
          </w:p>
        </w:tc>
        <w:tc>
          <w:tcPr>
            <w:tcW w:w="2126" w:type="dxa"/>
          </w:tcPr>
          <w:p w14:paraId="69F781D2" w14:textId="77777777" w:rsidR="004C3607" w:rsidRPr="003036DA" w:rsidRDefault="004C3607" w:rsidP="004C3607">
            <w:pPr>
              <w:pStyle w:val="NoSpacing"/>
              <w:rPr>
                <w:rFonts w:ascii="Arial" w:hAnsi="Arial" w:cs="Arial"/>
                <w:sz w:val="20"/>
                <w:szCs w:val="20"/>
              </w:rPr>
            </w:pPr>
          </w:p>
        </w:tc>
        <w:tc>
          <w:tcPr>
            <w:tcW w:w="2409" w:type="dxa"/>
          </w:tcPr>
          <w:p w14:paraId="573C52A5" w14:textId="77777777" w:rsidR="004C3607" w:rsidRPr="003036DA" w:rsidRDefault="004C3607" w:rsidP="004C3607">
            <w:pPr>
              <w:pStyle w:val="NoSpacing"/>
              <w:rPr>
                <w:rFonts w:ascii="Arial" w:hAnsi="Arial" w:cs="Arial"/>
                <w:sz w:val="20"/>
                <w:szCs w:val="20"/>
              </w:rPr>
            </w:pPr>
          </w:p>
        </w:tc>
      </w:tr>
      <w:tr w:rsidR="004C3607" w:rsidRPr="003036DA" w14:paraId="68F167A9" w14:textId="77777777" w:rsidTr="005F247D">
        <w:tc>
          <w:tcPr>
            <w:tcW w:w="2722" w:type="dxa"/>
          </w:tcPr>
          <w:p w14:paraId="3FDFFAF5" w14:textId="3A38BB5B" w:rsidR="004C3607" w:rsidRPr="003036DA" w:rsidRDefault="003036DA" w:rsidP="004C3607">
            <w:pPr>
              <w:pStyle w:val="NoSpacing"/>
              <w:rPr>
                <w:rFonts w:ascii="Arial" w:eastAsia="Times New Roman" w:hAnsi="Arial" w:cs="Arial"/>
                <w:b/>
                <w:sz w:val="20"/>
                <w:szCs w:val="20"/>
                <w:lang w:eastAsia="en-GB"/>
              </w:rPr>
            </w:pPr>
            <w:r w:rsidRPr="003036DA">
              <w:rPr>
                <w:rStyle w:val="Strong"/>
                <w:rFonts w:ascii="Arial" w:hAnsi="Arial" w:cs="Arial"/>
                <w:b w:val="0"/>
                <w:sz w:val="20"/>
                <w:szCs w:val="20"/>
              </w:rPr>
              <w:t>Staff plan food preparation and cooking activities that focus on progressive food skill acquisition, competency and techniques, not recipe outcomes</w:t>
            </w:r>
          </w:p>
        </w:tc>
        <w:tc>
          <w:tcPr>
            <w:tcW w:w="8478" w:type="dxa"/>
          </w:tcPr>
          <w:p w14:paraId="54177DEA"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 xml:space="preserve">Ensure practical work </w:t>
            </w:r>
            <w:proofErr w:type="gramStart"/>
            <w:r w:rsidRPr="003036DA">
              <w:rPr>
                <w:rFonts w:ascii="Arial" w:eastAsia="Times New Roman" w:hAnsi="Arial" w:cs="Arial"/>
                <w:sz w:val="20"/>
                <w:szCs w:val="20"/>
                <w:lang w:eastAsia="en-GB"/>
              </w:rPr>
              <w:t>is focused</w:t>
            </w:r>
            <w:proofErr w:type="gramEnd"/>
            <w:r w:rsidRPr="003036DA">
              <w:rPr>
                <w:rFonts w:ascii="Arial" w:eastAsia="Times New Roman" w:hAnsi="Arial" w:cs="Arial"/>
                <w:sz w:val="20"/>
                <w:szCs w:val="20"/>
                <w:lang w:eastAsia="en-GB"/>
              </w:rPr>
              <w:t xml:space="preserve"> on learning intent, not outcomes.</w:t>
            </w:r>
          </w:p>
          <w:p w14:paraId="24464CBB"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Use activities that enable learning intent to be realised and develop a progressive range of food skills and cooking techniques.</w:t>
            </w:r>
          </w:p>
          <w:p w14:paraId="37FA69CA"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 xml:space="preserve">Ensure that recipes reflect the principles of the </w:t>
            </w:r>
            <w:proofErr w:type="spellStart"/>
            <w:r w:rsidRPr="003036DA">
              <w:rPr>
                <w:rFonts w:ascii="Arial" w:eastAsia="Times New Roman" w:hAnsi="Arial" w:cs="Arial"/>
                <w:sz w:val="20"/>
                <w:szCs w:val="20"/>
                <w:lang w:eastAsia="en-GB"/>
              </w:rPr>
              <w:t>Eatwell</w:t>
            </w:r>
            <w:proofErr w:type="spellEnd"/>
            <w:r w:rsidRPr="003036DA">
              <w:rPr>
                <w:rFonts w:ascii="Arial" w:eastAsia="Times New Roman" w:hAnsi="Arial" w:cs="Arial"/>
                <w:sz w:val="20"/>
                <w:szCs w:val="20"/>
                <w:lang w:eastAsia="en-GB"/>
              </w:rPr>
              <w:t xml:space="preserve"> Guide.</w:t>
            </w:r>
          </w:p>
          <w:p w14:paraId="203FD045" w14:textId="77777777" w:rsidR="004C3607" w:rsidRPr="003036DA" w:rsidRDefault="001E183E" w:rsidP="003036DA">
            <w:pPr>
              <w:pStyle w:val="NoSpacing"/>
              <w:numPr>
                <w:ilvl w:val="0"/>
                <w:numId w:val="22"/>
              </w:numPr>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Other</w:t>
            </w:r>
          </w:p>
          <w:p w14:paraId="148F2F73" w14:textId="77777777" w:rsidR="001E183E" w:rsidRDefault="001E183E" w:rsidP="003036DA">
            <w:pPr>
              <w:pStyle w:val="NoSpacing"/>
              <w:ind w:left="178" w:hanging="142"/>
              <w:rPr>
                <w:rFonts w:ascii="Arial" w:eastAsia="Times New Roman" w:hAnsi="Arial" w:cs="Arial"/>
                <w:sz w:val="20"/>
                <w:szCs w:val="20"/>
                <w:lang w:eastAsia="en-GB"/>
              </w:rPr>
            </w:pPr>
          </w:p>
          <w:p w14:paraId="61DBD48B" w14:textId="1927525B" w:rsidR="003036DA" w:rsidRPr="003036DA" w:rsidRDefault="003036DA" w:rsidP="003036DA">
            <w:pPr>
              <w:pStyle w:val="NoSpacing"/>
              <w:ind w:left="178" w:hanging="142"/>
              <w:rPr>
                <w:rFonts w:ascii="Arial" w:eastAsia="Times New Roman" w:hAnsi="Arial" w:cs="Arial"/>
                <w:sz w:val="20"/>
                <w:szCs w:val="20"/>
                <w:lang w:eastAsia="en-GB"/>
              </w:rPr>
            </w:pPr>
          </w:p>
        </w:tc>
        <w:tc>
          <w:tcPr>
            <w:tcW w:w="2126" w:type="dxa"/>
          </w:tcPr>
          <w:p w14:paraId="4975B435" w14:textId="77777777" w:rsidR="004C3607" w:rsidRPr="003036DA" w:rsidRDefault="004C3607" w:rsidP="004C3607">
            <w:pPr>
              <w:pStyle w:val="NoSpacing"/>
              <w:rPr>
                <w:rFonts w:ascii="Arial" w:hAnsi="Arial" w:cs="Arial"/>
                <w:sz w:val="20"/>
                <w:szCs w:val="20"/>
              </w:rPr>
            </w:pPr>
          </w:p>
        </w:tc>
        <w:tc>
          <w:tcPr>
            <w:tcW w:w="2409" w:type="dxa"/>
          </w:tcPr>
          <w:p w14:paraId="438F3BAE" w14:textId="77777777" w:rsidR="004C3607" w:rsidRPr="003036DA" w:rsidRDefault="004C3607" w:rsidP="004C3607">
            <w:pPr>
              <w:pStyle w:val="NoSpacing"/>
              <w:rPr>
                <w:rFonts w:ascii="Arial" w:hAnsi="Arial" w:cs="Arial"/>
                <w:sz w:val="20"/>
                <w:szCs w:val="20"/>
              </w:rPr>
            </w:pPr>
          </w:p>
        </w:tc>
      </w:tr>
    </w:tbl>
    <w:p w14:paraId="65680192" w14:textId="77777777" w:rsidR="003036DA" w:rsidRDefault="003036DA">
      <w:r>
        <w:br w:type="page"/>
      </w:r>
      <w:bookmarkStart w:id="0" w:name="_GoBack"/>
      <w:bookmarkEnd w:id="0"/>
    </w:p>
    <w:tbl>
      <w:tblPr>
        <w:tblStyle w:val="TableGrid"/>
        <w:tblW w:w="15735" w:type="dxa"/>
        <w:tblInd w:w="-459" w:type="dxa"/>
        <w:tblLook w:val="04A0" w:firstRow="1" w:lastRow="0" w:firstColumn="1" w:lastColumn="0" w:noHBand="0" w:noVBand="1"/>
      </w:tblPr>
      <w:tblGrid>
        <w:gridCol w:w="2722"/>
        <w:gridCol w:w="8478"/>
        <w:gridCol w:w="2126"/>
        <w:gridCol w:w="2409"/>
      </w:tblGrid>
      <w:tr w:rsidR="003036DA" w:rsidRPr="003036DA" w14:paraId="19D7204B" w14:textId="77777777" w:rsidTr="005F247D">
        <w:tc>
          <w:tcPr>
            <w:tcW w:w="2722" w:type="dxa"/>
          </w:tcPr>
          <w:p w14:paraId="675DAF3F" w14:textId="3AF50906" w:rsidR="003036DA" w:rsidRPr="003036DA" w:rsidRDefault="003036DA" w:rsidP="004C3607">
            <w:pPr>
              <w:pStyle w:val="NoSpacing"/>
              <w:rPr>
                <w:rStyle w:val="Strong"/>
                <w:rFonts w:ascii="Arial" w:hAnsi="Arial" w:cs="Arial"/>
                <w:b w:val="0"/>
                <w:sz w:val="20"/>
                <w:szCs w:val="20"/>
              </w:rPr>
            </w:pPr>
            <w:r w:rsidRPr="003036DA">
              <w:rPr>
                <w:rStyle w:val="Strong"/>
                <w:rFonts w:ascii="Arial" w:hAnsi="Arial" w:cs="Arial"/>
                <w:b w:val="0"/>
                <w:sz w:val="20"/>
                <w:szCs w:val="20"/>
              </w:rPr>
              <w:lastRenderedPageBreak/>
              <w:t>S</w:t>
            </w:r>
            <w:r w:rsidRPr="003036DA">
              <w:rPr>
                <w:rStyle w:val="Strong"/>
                <w:rFonts w:ascii="Arial" w:hAnsi="Arial" w:cs="Arial"/>
                <w:b w:val="0"/>
                <w:sz w:val="20"/>
                <w:szCs w:val="20"/>
              </w:rPr>
              <w:t>taff organise a variety of practical activities, such as food preparation, food science investigations and sensory testing</w:t>
            </w:r>
          </w:p>
        </w:tc>
        <w:tc>
          <w:tcPr>
            <w:tcW w:w="8478" w:type="dxa"/>
          </w:tcPr>
          <w:p w14:paraId="3D8682D9"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Plan a variety of practical activities to support the learning intent for Schemes of Work.</w:t>
            </w:r>
          </w:p>
          <w:p w14:paraId="6C568856"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Include a variety of approaches; one approach might be to investigate the properties of an ingredient and then prepare, cook and evaluate a dish using the ingredient.</w:t>
            </w:r>
          </w:p>
          <w:p w14:paraId="4EB92C59"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Discuss the functional characteristics of ingredients during practical activities, embedding knowledge from an early stage, e.g. enzymatic browning when making a fruit salad.</w:t>
            </w:r>
          </w:p>
          <w:p w14:paraId="30E73BC2" w14:textId="58AEF9C6" w:rsid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Introduce the concept of fair testing. Sample a range of similar products and use sensory vocabulary cards.</w:t>
            </w:r>
          </w:p>
          <w:p w14:paraId="4BB10F13" w14:textId="33BC969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Pr>
                <w:rFonts w:ascii="Arial" w:eastAsia="Times New Roman" w:hAnsi="Arial" w:cs="Arial"/>
                <w:sz w:val="20"/>
                <w:szCs w:val="20"/>
                <w:lang w:eastAsia="en-GB"/>
              </w:rPr>
              <w:t>Other:</w:t>
            </w:r>
          </w:p>
          <w:p w14:paraId="1018EF7D" w14:textId="77777777" w:rsidR="003036DA" w:rsidRPr="003036DA" w:rsidRDefault="003036DA" w:rsidP="003036DA">
            <w:pPr>
              <w:spacing w:before="100" w:beforeAutospacing="1" w:after="100" w:afterAutospacing="1"/>
              <w:ind w:left="178" w:hanging="142"/>
              <w:rPr>
                <w:rFonts w:ascii="Arial" w:eastAsia="Times New Roman" w:hAnsi="Arial" w:cs="Arial"/>
                <w:sz w:val="20"/>
                <w:szCs w:val="20"/>
                <w:lang w:eastAsia="en-GB"/>
              </w:rPr>
            </w:pPr>
          </w:p>
        </w:tc>
        <w:tc>
          <w:tcPr>
            <w:tcW w:w="2126" w:type="dxa"/>
          </w:tcPr>
          <w:p w14:paraId="27A83B98" w14:textId="77777777" w:rsidR="003036DA" w:rsidRPr="003036DA" w:rsidRDefault="003036DA" w:rsidP="004C3607">
            <w:pPr>
              <w:pStyle w:val="NoSpacing"/>
              <w:rPr>
                <w:rFonts w:ascii="Arial" w:hAnsi="Arial" w:cs="Arial"/>
                <w:sz w:val="20"/>
                <w:szCs w:val="20"/>
              </w:rPr>
            </w:pPr>
          </w:p>
        </w:tc>
        <w:tc>
          <w:tcPr>
            <w:tcW w:w="2409" w:type="dxa"/>
          </w:tcPr>
          <w:p w14:paraId="7C02FDFF" w14:textId="77777777" w:rsidR="003036DA" w:rsidRPr="003036DA" w:rsidRDefault="003036DA" w:rsidP="004C360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5E421D" w:rsidRDefault="005E421D" w:rsidP="00D5426B">
      <w:r>
        <w:separator/>
      </w:r>
    </w:p>
  </w:endnote>
  <w:endnote w:type="continuationSeparator" w:id="0">
    <w:p w14:paraId="3DF27545" w14:textId="77777777" w:rsidR="005E421D" w:rsidRDefault="005E42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61A8A20E"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3036DA">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5E421D" w:rsidRDefault="005E421D" w:rsidP="00D5426B">
      <w:r>
        <w:separator/>
      </w:r>
    </w:p>
  </w:footnote>
  <w:footnote w:type="continuationSeparator" w:id="0">
    <w:p w14:paraId="058ABE7E" w14:textId="77777777" w:rsidR="005E421D" w:rsidRDefault="005E42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006A346D">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975"/>
    <w:multiLevelType w:val="hybridMultilevel"/>
    <w:tmpl w:val="C3EE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24B56"/>
    <w:multiLevelType w:val="hybridMultilevel"/>
    <w:tmpl w:val="DDF4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8141E"/>
    <w:multiLevelType w:val="multilevel"/>
    <w:tmpl w:val="CE6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21"/>
  </w:num>
  <w:num w:numId="4">
    <w:abstractNumId w:val="19"/>
  </w:num>
  <w:num w:numId="5">
    <w:abstractNumId w:val="9"/>
  </w:num>
  <w:num w:numId="6">
    <w:abstractNumId w:val="20"/>
  </w:num>
  <w:num w:numId="7">
    <w:abstractNumId w:val="4"/>
  </w:num>
  <w:num w:numId="8">
    <w:abstractNumId w:val="13"/>
  </w:num>
  <w:num w:numId="9">
    <w:abstractNumId w:val="12"/>
  </w:num>
  <w:num w:numId="10">
    <w:abstractNumId w:val="5"/>
  </w:num>
  <w:num w:numId="11">
    <w:abstractNumId w:val="1"/>
  </w:num>
  <w:num w:numId="12">
    <w:abstractNumId w:val="7"/>
  </w:num>
  <w:num w:numId="13">
    <w:abstractNumId w:val="2"/>
  </w:num>
  <w:num w:numId="14">
    <w:abstractNumId w:val="15"/>
  </w:num>
  <w:num w:numId="15">
    <w:abstractNumId w:val="3"/>
  </w:num>
  <w:num w:numId="16">
    <w:abstractNumId w:val="16"/>
  </w:num>
  <w:num w:numId="17">
    <w:abstractNumId w:val="8"/>
  </w:num>
  <w:num w:numId="18">
    <w:abstractNumId w:val="11"/>
  </w:num>
  <w:num w:numId="19">
    <w:abstractNumId w:val="6"/>
  </w:num>
  <w:num w:numId="20">
    <w:abstractNumId w:val="0"/>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1E183E"/>
    <w:rsid w:val="002D73D0"/>
    <w:rsid w:val="002E4C61"/>
    <w:rsid w:val="003036DA"/>
    <w:rsid w:val="00340A6B"/>
    <w:rsid w:val="00343EF2"/>
    <w:rsid w:val="0036688E"/>
    <w:rsid w:val="00397F11"/>
    <w:rsid w:val="003D111E"/>
    <w:rsid w:val="00403ED4"/>
    <w:rsid w:val="004B2946"/>
    <w:rsid w:val="004C3607"/>
    <w:rsid w:val="005438EE"/>
    <w:rsid w:val="00562087"/>
    <w:rsid w:val="00567405"/>
    <w:rsid w:val="00570CFB"/>
    <w:rsid w:val="005C5295"/>
    <w:rsid w:val="005E421D"/>
    <w:rsid w:val="005F247D"/>
    <w:rsid w:val="006507CA"/>
    <w:rsid w:val="00652ACE"/>
    <w:rsid w:val="006A346D"/>
    <w:rsid w:val="00780C4B"/>
    <w:rsid w:val="00784200"/>
    <w:rsid w:val="007C58CE"/>
    <w:rsid w:val="0083309F"/>
    <w:rsid w:val="0084009B"/>
    <w:rsid w:val="00847098"/>
    <w:rsid w:val="00860655"/>
    <w:rsid w:val="008B0FB5"/>
    <w:rsid w:val="008B50BA"/>
    <w:rsid w:val="008C4C89"/>
    <w:rsid w:val="009175C6"/>
    <w:rsid w:val="00950E2A"/>
    <w:rsid w:val="00957815"/>
    <w:rsid w:val="00963396"/>
    <w:rsid w:val="009A2187"/>
    <w:rsid w:val="009D20D6"/>
    <w:rsid w:val="00A6418C"/>
    <w:rsid w:val="00AB1EA0"/>
    <w:rsid w:val="00AE47BA"/>
    <w:rsid w:val="00B13F91"/>
    <w:rsid w:val="00B63A3A"/>
    <w:rsid w:val="00B6645B"/>
    <w:rsid w:val="00BA071F"/>
    <w:rsid w:val="00BD4D82"/>
    <w:rsid w:val="00C05AAC"/>
    <w:rsid w:val="00C73663"/>
    <w:rsid w:val="00CA0ECA"/>
    <w:rsid w:val="00CC5CCE"/>
    <w:rsid w:val="00CE507E"/>
    <w:rsid w:val="00D25EA6"/>
    <w:rsid w:val="00D32385"/>
    <w:rsid w:val="00D36C1F"/>
    <w:rsid w:val="00D42DF2"/>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6403">
      <w:bodyDiv w:val="1"/>
      <w:marLeft w:val="0"/>
      <w:marRight w:val="0"/>
      <w:marTop w:val="0"/>
      <w:marBottom w:val="0"/>
      <w:divBdr>
        <w:top w:val="none" w:sz="0" w:space="0" w:color="auto"/>
        <w:left w:val="none" w:sz="0" w:space="0" w:color="auto"/>
        <w:bottom w:val="none" w:sz="0" w:space="0" w:color="auto"/>
        <w:right w:val="none" w:sz="0" w:space="0" w:color="auto"/>
      </w:divBdr>
    </w:div>
    <w:div w:id="72774835">
      <w:bodyDiv w:val="1"/>
      <w:marLeft w:val="0"/>
      <w:marRight w:val="0"/>
      <w:marTop w:val="0"/>
      <w:marBottom w:val="0"/>
      <w:divBdr>
        <w:top w:val="none" w:sz="0" w:space="0" w:color="auto"/>
        <w:left w:val="none" w:sz="0" w:space="0" w:color="auto"/>
        <w:bottom w:val="none" w:sz="0" w:space="0" w:color="auto"/>
        <w:right w:val="none" w:sz="0" w:space="0" w:color="auto"/>
      </w:divBdr>
    </w:div>
    <w:div w:id="156044365">
      <w:bodyDiv w:val="1"/>
      <w:marLeft w:val="0"/>
      <w:marRight w:val="0"/>
      <w:marTop w:val="0"/>
      <w:marBottom w:val="0"/>
      <w:divBdr>
        <w:top w:val="none" w:sz="0" w:space="0" w:color="auto"/>
        <w:left w:val="none" w:sz="0" w:space="0" w:color="auto"/>
        <w:bottom w:val="none" w:sz="0" w:space="0" w:color="auto"/>
        <w:right w:val="none" w:sz="0" w:space="0" w:color="auto"/>
      </w:divBdr>
    </w:div>
    <w:div w:id="228007606">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470876603">
      <w:bodyDiv w:val="1"/>
      <w:marLeft w:val="0"/>
      <w:marRight w:val="0"/>
      <w:marTop w:val="0"/>
      <w:marBottom w:val="0"/>
      <w:divBdr>
        <w:top w:val="none" w:sz="0" w:space="0" w:color="auto"/>
        <w:left w:val="none" w:sz="0" w:space="0" w:color="auto"/>
        <w:bottom w:val="none" w:sz="0" w:space="0" w:color="auto"/>
        <w:right w:val="none" w:sz="0" w:space="0" w:color="auto"/>
      </w:divBdr>
    </w:div>
    <w:div w:id="552500930">
      <w:bodyDiv w:val="1"/>
      <w:marLeft w:val="0"/>
      <w:marRight w:val="0"/>
      <w:marTop w:val="0"/>
      <w:marBottom w:val="0"/>
      <w:divBdr>
        <w:top w:val="none" w:sz="0" w:space="0" w:color="auto"/>
        <w:left w:val="none" w:sz="0" w:space="0" w:color="auto"/>
        <w:bottom w:val="none" w:sz="0" w:space="0" w:color="auto"/>
        <w:right w:val="none" w:sz="0" w:space="0" w:color="auto"/>
      </w:divBdr>
    </w:div>
    <w:div w:id="599990433">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872696775">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38357899">
      <w:bodyDiv w:val="1"/>
      <w:marLeft w:val="0"/>
      <w:marRight w:val="0"/>
      <w:marTop w:val="0"/>
      <w:marBottom w:val="0"/>
      <w:divBdr>
        <w:top w:val="none" w:sz="0" w:space="0" w:color="auto"/>
        <w:left w:val="none" w:sz="0" w:space="0" w:color="auto"/>
        <w:bottom w:val="none" w:sz="0" w:space="0" w:color="auto"/>
        <w:right w:val="none" w:sz="0" w:space="0" w:color="auto"/>
      </w:divBdr>
    </w:div>
    <w:div w:id="1397703449">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672946094">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8B52C-69E6-46BE-909E-CCFC932A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2019-09-11T07:19:00Z</dcterms:created>
  <dcterms:modified xsi:type="dcterms:W3CDTF">2019-09-11T07:25:00Z</dcterms:modified>
</cp:coreProperties>
</file>