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02A587A1" w:rsidR="008B50BA" w:rsidRPr="00652ACE" w:rsidRDefault="00963396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Taking a whole school approach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2522BB4C" w14:textId="4F33CD94" w:rsidR="00652ACE" w:rsidRPr="005F247D" w:rsidRDefault="008B50BA" w:rsidP="008B0FB5">
      <w:pPr>
        <w:pStyle w:val="Default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5F247D" w:rsidRPr="005F247D">
        <w:rPr>
          <w:rFonts w:ascii="Arial" w:hAnsi="Arial" w:cs="Arial"/>
          <w:sz w:val="20"/>
        </w:rPr>
        <w:t xml:space="preserve">A characteristic of good practice in secondary schools is that the subject </w:t>
      </w:r>
      <w:proofErr w:type="gramStart"/>
      <w:r w:rsidR="005F247D" w:rsidRPr="005F247D">
        <w:rPr>
          <w:rFonts w:ascii="Arial" w:hAnsi="Arial" w:cs="Arial"/>
          <w:sz w:val="20"/>
        </w:rPr>
        <w:t>is aligned</w:t>
      </w:r>
      <w:proofErr w:type="gramEnd"/>
      <w:r w:rsidR="005F247D" w:rsidRPr="005F247D">
        <w:rPr>
          <w:rFonts w:ascii="Arial" w:hAnsi="Arial" w:cs="Arial"/>
          <w:sz w:val="20"/>
        </w:rPr>
        <w:t xml:space="preserve"> to a whole school food approach. Food and nutrition education </w:t>
      </w:r>
      <w:proofErr w:type="gramStart"/>
      <w:r w:rsidR="005F247D" w:rsidRPr="005F247D">
        <w:rPr>
          <w:rFonts w:ascii="Arial" w:hAnsi="Arial" w:cs="Arial"/>
          <w:sz w:val="20"/>
        </w:rPr>
        <w:t>is embedded</w:t>
      </w:r>
      <w:proofErr w:type="gramEnd"/>
      <w:r w:rsidR="005F247D" w:rsidRPr="005F247D">
        <w:rPr>
          <w:rFonts w:ascii="Arial" w:hAnsi="Arial" w:cs="Arial"/>
          <w:sz w:val="20"/>
        </w:rPr>
        <w:t xml:space="preserve"> in the health and wellbeing agenda of the whole school through the development and implementation of policies, promotion and enforcement.</w:t>
      </w:r>
    </w:p>
    <w:p w14:paraId="217241B3" w14:textId="77777777" w:rsidR="004C3607" w:rsidRPr="001845A6" w:rsidRDefault="004C3607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8"/>
        <w:gridCol w:w="2126"/>
        <w:gridCol w:w="2409"/>
      </w:tblGrid>
      <w:tr w:rsidR="004C3607" w:rsidRPr="005F247D" w14:paraId="2FBD1BD5" w14:textId="77777777" w:rsidTr="005F247D">
        <w:tc>
          <w:tcPr>
            <w:tcW w:w="11200" w:type="dxa"/>
            <w:gridSpan w:val="2"/>
          </w:tcPr>
          <w:p w14:paraId="3DCF3DFD" w14:textId="09477494" w:rsidR="004C3607" w:rsidRPr="005F247D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09" w:type="dxa"/>
          </w:tcPr>
          <w:p w14:paraId="10E4AC92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5F247D" w14:paraId="48CA439F" w14:textId="77777777" w:rsidTr="005F247D">
        <w:tc>
          <w:tcPr>
            <w:tcW w:w="2722" w:type="dxa"/>
          </w:tcPr>
          <w:p w14:paraId="04E1761A" w14:textId="40FCCB82" w:rsidR="00090989" w:rsidRPr="005F247D" w:rsidRDefault="005F247D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communicate the role of food and nutrition education as part of the wellbeing agenda so that other staff, parents and learners are clear about its purpose</w:t>
            </w:r>
          </w:p>
        </w:tc>
        <w:tc>
          <w:tcPr>
            <w:tcW w:w="8478" w:type="dxa"/>
          </w:tcPr>
          <w:p w14:paraId="312E552C" w14:textId="77777777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 xml:space="preserve">Make sure that food and nutrition education </w:t>
            </w:r>
            <w:proofErr w:type="gramStart"/>
            <w:r w:rsidRPr="005F247D">
              <w:rPr>
                <w:rFonts w:ascii="Arial" w:hAnsi="Arial" w:cs="Arial"/>
              </w:rPr>
              <w:t>is represented</w:t>
            </w:r>
            <w:proofErr w:type="gramEnd"/>
            <w:r w:rsidRPr="005F247D">
              <w:rPr>
                <w:rFonts w:ascii="Arial" w:hAnsi="Arial" w:cs="Arial"/>
              </w:rPr>
              <w:t xml:space="preserve"> in the school food policy. Write a clear statement that describes its principles and purpose, including learning intent.</w:t>
            </w:r>
          </w:p>
          <w:p w14:paraId="59863A19" w14:textId="74D946FD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>Work collaboratively with other subject colleagues to ensure that food</w:t>
            </w:r>
            <w:r>
              <w:rPr>
                <w:rFonts w:ascii="Arial" w:hAnsi="Arial" w:cs="Arial"/>
              </w:rPr>
              <w:t xml:space="preserve"> and nutrition education </w:t>
            </w:r>
            <w:proofErr w:type="gramStart"/>
            <w:r>
              <w:rPr>
                <w:rFonts w:ascii="Arial" w:hAnsi="Arial" w:cs="Arial"/>
              </w:rPr>
              <w:t xml:space="preserve">is </w:t>
            </w:r>
            <w:r w:rsidRPr="005F247D">
              <w:rPr>
                <w:rFonts w:ascii="Arial" w:hAnsi="Arial" w:cs="Arial"/>
              </w:rPr>
              <w:t>embedded</w:t>
            </w:r>
            <w:proofErr w:type="gramEnd"/>
            <w:r w:rsidRPr="005F247D">
              <w:rPr>
                <w:rFonts w:ascii="Arial" w:hAnsi="Arial" w:cs="Arial"/>
              </w:rPr>
              <w:t xml:space="preserve"> in the whole school approach and learners receive consistent messages.</w:t>
            </w:r>
          </w:p>
          <w:p w14:paraId="0D6FA501" w14:textId="77777777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>Ensure that the school governing body (or equivalent) is aware of, and informed about, the whole school food policy.</w:t>
            </w:r>
          </w:p>
          <w:p w14:paraId="298DF864" w14:textId="459F0B0D" w:rsidR="008B0FB5" w:rsidRPr="005F247D" w:rsidRDefault="008B0FB5" w:rsidP="005F247D">
            <w:pPr>
              <w:pStyle w:val="NoSpacing"/>
              <w:numPr>
                <w:ilvl w:val="0"/>
                <w:numId w:val="20"/>
              </w:numPr>
              <w:ind w:left="203" w:hanging="203"/>
              <w:rPr>
                <w:rStyle w:val="A5"/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F247D">
              <w:rPr>
                <w:rStyle w:val="A5"/>
                <w:rFonts w:ascii="Arial" w:hAnsi="Arial" w:cs="Arial"/>
                <w:sz w:val="20"/>
                <w:szCs w:val="20"/>
              </w:rPr>
              <w:t>Other:</w:t>
            </w:r>
          </w:p>
          <w:p w14:paraId="702EF896" w14:textId="0560BD2B" w:rsidR="008B0FB5" w:rsidRDefault="008B0FB5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B45E061" w14:textId="77777777" w:rsidR="005F247D" w:rsidRPr="005F247D" w:rsidRDefault="005F247D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6B2EF2F" w14:textId="60CB3EA4" w:rsidR="001E183E" w:rsidRPr="005F247D" w:rsidRDefault="001E183E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863C75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F247D" w14:paraId="674E7494" w14:textId="77777777" w:rsidTr="005F247D">
        <w:tc>
          <w:tcPr>
            <w:tcW w:w="2722" w:type="dxa"/>
          </w:tcPr>
          <w:p w14:paraId="129112EA" w14:textId="11201F2F" w:rsidR="004C3607" w:rsidRPr="005F247D" w:rsidRDefault="005F247D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ensure that Schemes of Work and learning activities reinforce the whole school food policy in practice</w:t>
            </w:r>
          </w:p>
        </w:tc>
        <w:tc>
          <w:tcPr>
            <w:tcW w:w="8478" w:type="dxa"/>
          </w:tcPr>
          <w:p w14:paraId="0B8DAFE9" w14:textId="77777777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 xml:space="preserve">Use the </w:t>
            </w:r>
            <w:proofErr w:type="spellStart"/>
            <w:r w:rsidRPr="005F247D">
              <w:rPr>
                <w:rFonts w:ascii="Arial" w:hAnsi="Arial" w:cs="Arial"/>
              </w:rPr>
              <w:t>Eatwell</w:t>
            </w:r>
            <w:proofErr w:type="spellEnd"/>
            <w:r w:rsidRPr="005F247D">
              <w:rPr>
                <w:rFonts w:ascii="Arial" w:hAnsi="Arial" w:cs="Arial"/>
              </w:rPr>
              <w:t xml:space="preserve"> Guide to inform the planning and delivery of healthy eating messages across the curriculum.</w:t>
            </w:r>
          </w:p>
          <w:p w14:paraId="398964F9" w14:textId="77777777" w:rsidR="001E183E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>Reflect on the core competences for children and young people aged 5 to 16 years for progression mapping to ensure that learners build on their prior knowledge.</w:t>
            </w:r>
          </w:p>
          <w:p w14:paraId="2AB10735" w14:textId="77777777" w:rsid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>Other:</w:t>
            </w:r>
          </w:p>
          <w:p w14:paraId="395D9D2B" w14:textId="54ADCD7D" w:rsidR="005F247D" w:rsidRPr="005F247D" w:rsidRDefault="005F247D" w:rsidP="005F247D">
            <w:pPr>
              <w:pStyle w:val="NormalWeb"/>
              <w:ind w:left="203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6348C5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EB98B7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F247D" w14:paraId="1D9F047C" w14:textId="77777777" w:rsidTr="005F247D">
        <w:tc>
          <w:tcPr>
            <w:tcW w:w="2722" w:type="dxa"/>
          </w:tcPr>
          <w:p w14:paraId="3F247F79" w14:textId="61F79904" w:rsidR="004C3607" w:rsidRPr="005F247D" w:rsidRDefault="005F247D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work collaboratively to share expertise and enhance teaching about food and nutrition education throughout the curriculum</w:t>
            </w:r>
          </w:p>
        </w:tc>
        <w:tc>
          <w:tcPr>
            <w:tcW w:w="8478" w:type="dxa"/>
          </w:tcPr>
          <w:p w14:paraId="0A14D9E6" w14:textId="77777777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 xml:space="preserve">Carry out a review across the curriculum to establish where, and when, food and nutrition education </w:t>
            </w:r>
            <w:proofErr w:type="gramStart"/>
            <w:r w:rsidRPr="005F247D">
              <w:rPr>
                <w:rFonts w:ascii="Arial" w:hAnsi="Arial" w:cs="Arial"/>
              </w:rPr>
              <w:t>is taught</w:t>
            </w:r>
            <w:proofErr w:type="gramEnd"/>
            <w:r w:rsidRPr="005F247D">
              <w:rPr>
                <w:rFonts w:ascii="Arial" w:hAnsi="Arial" w:cs="Arial"/>
              </w:rPr>
              <w:t>.</w:t>
            </w:r>
          </w:p>
          <w:p w14:paraId="5CF8105D" w14:textId="77777777" w:rsidR="005F247D" w:rsidRPr="005F247D" w:rsidRDefault="005F247D" w:rsidP="005F247D">
            <w:pPr>
              <w:pStyle w:val="NormalWeb"/>
              <w:numPr>
                <w:ilvl w:val="0"/>
                <w:numId w:val="20"/>
              </w:numPr>
              <w:ind w:left="203" w:hanging="203"/>
              <w:rPr>
                <w:rFonts w:ascii="Arial" w:hAnsi="Arial" w:cs="Arial"/>
              </w:rPr>
            </w:pPr>
            <w:r w:rsidRPr="005F247D">
              <w:rPr>
                <w:rFonts w:ascii="Arial" w:hAnsi="Arial" w:cs="Arial"/>
              </w:rPr>
              <w:t xml:space="preserve">Collaborate with other staff to ensure that the whole school food policy </w:t>
            </w:r>
            <w:proofErr w:type="gramStart"/>
            <w:r w:rsidRPr="005F247D">
              <w:rPr>
                <w:rFonts w:ascii="Arial" w:hAnsi="Arial" w:cs="Arial"/>
              </w:rPr>
              <w:t>is reflected</w:t>
            </w:r>
            <w:proofErr w:type="gramEnd"/>
            <w:r w:rsidRPr="005F247D">
              <w:rPr>
                <w:rFonts w:ascii="Arial" w:hAnsi="Arial" w:cs="Arial"/>
              </w:rPr>
              <w:t xml:space="preserve"> across the curriculum and in extra-curricular activities.</w:t>
            </w:r>
          </w:p>
          <w:p w14:paraId="705F628B" w14:textId="6D5B593A" w:rsidR="008B0FB5" w:rsidRPr="005F247D" w:rsidRDefault="008B0FB5" w:rsidP="005F247D">
            <w:pPr>
              <w:pStyle w:val="NoSpacing"/>
              <w:numPr>
                <w:ilvl w:val="0"/>
                <w:numId w:val="20"/>
              </w:numPr>
              <w:ind w:left="203" w:hanging="203"/>
              <w:rPr>
                <w:rStyle w:val="A5"/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</w:pPr>
            <w:r w:rsidRPr="005F247D">
              <w:rPr>
                <w:rStyle w:val="A5"/>
                <w:rFonts w:ascii="Arial" w:hAnsi="Arial" w:cs="Arial"/>
                <w:sz w:val="20"/>
                <w:szCs w:val="20"/>
              </w:rPr>
              <w:t>Other:</w:t>
            </w:r>
          </w:p>
          <w:p w14:paraId="457039B8" w14:textId="77777777" w:rsidR="001E183E" w:rsidRPr="005F247D" w:rsidRDefault="001E183E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992529" w14:textId="0FD3A511" w:rsidR="001E183E" w:rsidRPr="005F247D" w:rsidRDefault="001E183E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AC7205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F247D" w14:paraId="403B595C" w14:textId="77777777" w:rsidTr="005F247D">
        <w:tc>
          <w:tcPr>
            <w:tcW w:w="2722" w:type="dxa"/>
          </w:tcPr>
          <w:p w14:paraId="787BBFC7" w14:textId="3B268CAF" w:rsidR="004C3607" w:rsidRPr="005F247D" w:rsidRDefault="005F247D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lastRenderedPageBreak/>
              <w:t>Staff take an active role in supporting the development and</w:t>
            </w:r>
            <w:r w:rsidRPr="005F247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implementation of the whole school food approach</w:t>
            </w:r>
          </w:p>
        </w:tc>
        <w:tc>
          <w:tcPr>
            <w:tcW w:w="8478" w:type="dxa"/>
          </w:tcPr>
          <w:p w14:paraId="3B75B2FD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 with senior leaders and school food providers to ensure that food and nutrition education </w:t>
            </w:r>
            <w:proofErr w:type="gramStart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represented</w:t>
            </w:r>
            <w:proofErr w:type="gramEnd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whole school food approach.</w:t>
            </w:r>
          </w:p>
          <w:p w14:paraId="2D607ACA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Join the food policy steering group/committee and raise the profile through displays and assemblies.</w:t>
            </w:r>
          </w:p>
          <w:p w14:paraId="695359EB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Engage with the wider school community; promote the approach through newsletters to parents, have a presence on the school website or present at a school governing body meeting.</w:t>
            </w:r>
          </w:p>
          <w:p w14:paraId="57F46007" w14:textId="046EE724" w:rsidR="004C3607" w:rsidRPr="005F247D" w:rsidRDefault="004C3607" w:rsidP="005F247D">
            <w:pPr>
              <w:pStyle w:val="NoSpacing"/>
              <w:numPr>
                <w:ilvl w:val="0"/>
                <w:numId w:val="20"/>
              </w:numPr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32B52274" w14:textId="1CD95090" w:rsidR="00090989" w:rsidRPr="005F247D" w:rsidRDefault="00090989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69F781D2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3C52A5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5F247D" w14:paraId="68F167A9" w14:textId="77777777" w:rsidTr="005F247D">
        <w:tc>
          <w:tcPr>
            <w:tcW w:w="2722" w:type="dxa"/>
          </w:tcPr>
          <w:p w14:paraId="3FDFFAF5" w14:textId="196CA0E4" w:rsidR="004C3607" w:rsidRPr="005F247D" w:rsidRDefault="005F247D" w:rsidP="004C3607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Staff engage with food issues throughout the school, helping</w:t>
            </w:r>
            <w:r w:rsidRPr="005F247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F247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to ensure consistency and continuity of message</w:t>
            </w:r>
          </w:p>
        </w:tc>
        <w:tc>
          <w:tcPr>
            <w:tcW w:w="8478" w:type="dxa"/>
          </w:tcPr>
          <w:p w14:paraId="5BEE5EA5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Support colleagues who may be less experienced, or without a </w:t>
            </w:r>
            <w:proofErr w:type="spellStart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specialism</w:t>
            </w:r>
            <w:proofErr w:type="spellEnd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food and nutrition.</w:t>
            </w:r>
          </w:p>
          <w:p w14:paraId="62B1C70A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current healthy eating models consistently across the school.</w:t>
            </w:r>
          </w:p>
          <w:p w14:paraId="592DC870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Involve the school lunch providers as part of the whole school food policy, for example, the </w:t>
            </w:r>
            <w:proofErr w:type="spellStart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Eatwell</w:t>
            </w:r>
            <w:proofErr w:type="spellEnd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Guide </w:t>
            </w:r>
            <w:proofErr w:type="gramStart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displayed</w:t>
            </w:r>
            <w:proofErr w:type="gramEnd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school lunch area.</w:t>
            </w:r>
          </w:p>
          <w:p w14:paraId="4C6F498D" w14:textId="77777777" w:rsidR="005F247D" w:rsidRPr="005F247D" w:rsidRDefault="005F247D" w:rsidP="005F247D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Share evidence-based resources and authoritative information, and teaching resources across the curriculum. Ensure resources are appropriate to the UK where necessary, e.g. use the </w:t>
            </w:r>
            <w:proofErr w:type="spellStart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Eatwell</w:t>
            </w:r>
            <w:proofErr w:type="spellEnd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Guide rather</w:t>
            </w:r>
            <w:bookmarkStart w:id="0" w:name="_GoBack"/>
            <w:bookmarkEnd w:id="0"/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than another food based model used in other countries.</w:t>
            </w:r>
          </w:p>
          <w:p w14:paraId="203FD045" w14:textId="77777777" w:rsidR="004C3607" w:rsidRPr="005F247D" w:rsidRDefault="001E183E" w:rsidP="005F247D">
            <w:pPr>
              <w:pStyle w:val="NoSpacing"/>
              <w:numPr>
                <w:ilvl w:val="0"/>
                <w:numId w:val="20"/>
              </w:numPr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F24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  <w:p w14:paraId="61DBD48B" w14:textId="2B16AEE2" w:rsidR="001E183E" w:rsidRPr="005F247D" w:rsidRDefault="001E183E" w:rsidP="005F247D">
            <w:pPr>
              <w:pStyle w:val="NoSpacing"/>
              <w:ind w:left="203" w:hanging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4975B435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8F3BAE" w14:textId="77777777" w:rsidR="004C3607" w:rsidRPr="005F247D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38374BB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F24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975"/>
    <w:multiLevelType w:val="hybridMultilevel"/>
    <w:tmpl w:val="C3EE1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7"/>
  </w:num>
  <w:num w:numId="5">
    <w:abstractNumId w:val="9"/>
  </w:num>
  <w:num w:numId="6">
    <w:abstractNumId w:val="18"/>
  </w:num>
  <w:num w:numId="7">
    <w:abstractNumId w:val="4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2"/>
  </w:num>
  <w:num w:numId="14">
    <w:abstractNumId w:val="14"/>
  </w:num>
  <w:num w:numId="15">
    <w:abstractNumId w:val="3"/>
  </w:num>
  <w:num w:numId="16">
    <w:abstractNumId w:val="15"/>
  </w:num>
  <w:num w:numId="17">
    <w:abstractNumId w:val="8"/>
  </w:num>
  <w:num w:numId="18">
    <w:abstractNumId w:val="10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1E183E"/>
    <w:rsid w:val="002D73D0"/>
    <w:rsid w:val="002E4C61"/>
    <w:rsid w:val="00340A6B"/>
    <w:rsid w:val="00343EF2"/>
    <w:rsid w:val="0036688E"/>
    <w:rsid w:val="00397F11"/>
    <w:rsid w:val="003D111E"/>
    <w:rsid w:val="00403ED4"/>
    <w:rsid w:val="004B2946"/>
    <w:rsid w:val="004C3607"/>
    <w:rsid w:val="005438EE"/>
    <w:rsid w:val="00562087"/>
    <w:rsid w:val="00567405"/>
    <w:rsid w:val="00570CFB"/>
    <w:rsid w:val="005C5295"/>
    <w:rsid w:val="005E421D"/>
    <w:rsid w:val="005F247D"/>
    <w:rsid w:val="006507CA"/>
    <w:rsid w:val="00652ACE"/>
    <w:rsid w:val="006A346D"/>
    <w:rsid w:val="00780C4B"/>
    <w:rsid w:val="00784200"/>
    <w:rsid w:val="007C58CE"/>
    <w:rsid w:val="0083309F"/>
    <w:rsid w:val="0084009B"/>
    <w:rsid w:val="00847098"/>
    <w:rsid w:val="008B0FB5"/>
    <w:rsid w:val="008B50BA"/>
    <w:rsid w:val="008C4C89"/>
    <w:rsid w:val="00950E2A"/>
    <w:rsid w:val="00957815"/>
    <w:rsid w:val="00963396"/>
    <w:rsid w:val="009A2187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CCAE6-E5D5-4B8F-8934-159D6EAC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2019-09-11T07:09:00Z</dcterms:created>
  <dcterms:modified xsi:type="dcterms:W3CDTF">2019-09-11T07:13:00Z</dcterms:modified>
</cp:coreProperties>
</file>