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A4A2" w14:textId="77777777" w:rsidR="009312CE" w:rsidRDefault="00D85E9E" w:rsidP="0082100C">
      <w:pPr>
        <w:widowControl w:val="0"/>
        <w:jc w:val="both"/>
        <w:rPr>
          <w:rFonts w:ascii="Arial" w:hAnsi="Arial" w:cs="Arial"/>
          <w:b/>
          <w:color w:val="158B44"/>
          <w:sz w:val="44"/>
          <w:szCs w:val="44"/>
        </w:rPr>
      </w:pPr>
      <w:r>
        <w:rPr>
          <w:rFonts w:ascii="Arial" w:hAnsi="Arial" w:cs="Arial"/>
          <w:b/>
          <w:color w:val="158B44"/>
          <w:sz w:val="44"/>
          <w:szCs w:val="44"/>
        </w:rPr>
        <w:t>Good food</w:t>
      </w:r>
      <w:r w:rsidR="0082100C" w:rsidRPr="0082100C">
        <w:rPr>
          <w:rFonts w:ascii="Arial" w:hAnsi="Arial" w:cs="Arial"/>
          <w:b/>
          <w:color w:val="158B44"/>
          <w:sz w:val="44"/>
          <w:szCs w:val="44"/>
        </w:rPr>
        <w:t xml:space="preserve"> safety and </w:t>
      </w:r>
    </w:p>
    <w:p w14:paraId="105824C4" w14:textId="06DBDF1B" w:rsidR="0082100C" w:rsidRPr="009312CE" w:rsidRDefault="0082100C" w:rsidP="0082100C">
      <w:pPr>
        <w:widowControl w:val="0"/>
        <w:jc w:val="both"/>
        <w:rPr>
          <w:rFonts w:ascii="Arial" w:hAnsi="Arial" w:cs="Arial"/>
          <w:b/>
          <w:color w:val="158B44"/>
          <w:sz w:val="44"/>
          <w:szCs w:val="44"/>
        </w:rPr>
      </w:pPr>
      <w:r w:rsidRPr="0082100C">
        <w:rPr>
          <w:rFonts w:ascii="Arial" w:hAnsi="Arial" w:cs="Arial"/>
          <w:b/>
          <w:color w:val="158B44"/>
          <w:sz w:val="44"/>
          <w:szCs w:val="44"/>
        </w:rPr>
        <w:t xml:space="preserve">hygiene </w:t>
      </w:r>
      <w:r w:rsidR="00D85E9E">
        <w:rPr>
          <w:rFonts w:ascii="Arial" w:hAnsi="Arial" w:cs="Arial"/>
          <w:b/>
          <w:color w:val="158B44"/>
          <w:sz w:val="43"/>
          <w:szCs w:val="43"/>
        </w:rPr>
        <w:t>practices</w:t>
      </w:r>
    </w:p>
    <w:p w14:paraId="458A4CC9" w14:textId="7696D4BB" w:rsidR="00C01000" w:rsidRDefault="00C01000" w:rsidP="0082100C">
      <w:pPr>
        <w:widowControl w:val="0"/>
        <w:jc w:val="both"/>
        <w:rPr>
          <w:rFonts w:ascii="Arial" w:hAnsi="Arial" w:cs="Arial"/>
          <w:b/>
          <w:color w:val="158B44"/>
        </w:rPr>
      </w:pPr>
    </w:p>
    <w:p w14:paraId="136C0F29" w14:textId="12A325C2" w:rsidR="00C01000" w:rsidRPr="00B71C15" w:rsidRDefault="00C01000" w:rsidP="0082100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 xml:space="preserve">All staff and </w:t>
      </w:r>
      <w:r w:rsidR="00A12B7D" w:rsidRPr="00B71C15">
        <w:rPr>
          <w:rFonts w:ascii="Arial" w:hAnsi="Arial" w:cs="Arial"/>
          <w:sz w:val="22"/>
          <w:szCs w:val="22"/>
        </w:rPr>
        <w:t>p</w:t>
      </w:r>
      <w:r w:rsidR="00B71C15" w:rsidRPr="00B71C15">
        <w:rPr>
          <w:rFonts w:ascii="Arial" w:hAnsi="Arial" w:cs="Arial"/>
          <w:sz w:val="22"/>
          <w:szCs w:val="22"/>
        </w:rPr>
        <w:t>u</w:t>
      </w:r>
      <w:r w:rsidR="00A12B7D" w:rsidRPr="00B71C15">
        <w:rPr>
          <w:rFonts w:ascii="Arial" w:hAnsi="Arial" w:cs="Arial"/>
          <w:sz w:val="22"/>
          <w:szCs w:val="22"/>
        </w:rPr>
        <w:t>pils</w:t>
      </w:r>
      <w:r w:rsidRPr="00B71C15">
        <w:rPr>
          <w:rFonts w:ascii="Arial" w:hAnsi="Arial" w:cs="Arial"/>
          <w:sz w:val="22"/>
          <w:szCs w:val="22"/>
        </w:rPr>
        <w:t xml:space="preserve"> should:</w:t>
      </w:r>
    </w:p>
    <w:p w14:paraId="278B4401" w14:textId="45CD01C7" w:rsidR="00D85E9E" w:rsidRPr="00B71C15" w:rsidRDefault="00D85E9E" w:rsidP="0082100C">
      <w:pPr>
        <w:widowControl w:val="0"/>
        <w:jc w:val="both"/>
        <w:rPr>
          <w:rFonts w:ascii="Arial" w:hAnsi="Arial" w:cs="Arial"/>
          <w:b/>
          <w:color w:val="158B44"/>
          <w:sz w:val="22"/>
          <w:szCs w:val="22"/>
        </w:rPr>
      </w:pPr>
    </w:p>
    <w:p w14:paraId="4B37AEAD" w14:textId="72F5E69E" w:rsidR="00D85E9E" w:rsidRPr="00B71C15" w:rsidRDefault="00D85E9E" w:rsidP="00054981">
      <w:pPr>
        <w:pStyle w:val="ListParagraph"/>
        <w:widowControl w:val="0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71C15">
        <w:rPr>
          <w:rFonts w:ascii="Arial" w:hAnsi="Arial" w:cs="Arial"/>
          <w:color w:val="000000" w:themeColor="text1"/>
          <w:sz w:val="22"/>
          <w:szCs w:val="22"/>
        </w:rPr>
        <w:t>Ensure that ingredients</w:t>
      </w:r>
      <w:r w:rsidR="00667D77" w:rsidRPr="00B71C15">
        <w:rPr>
          <w:rFonts w:ascii="Arial" w:hAnsi="Arial" w:cs="Arial"/>
          <w:color w:val="000000" w:themeColor="text1"/>
          <w:sz w:val="22"/>
          <w:szCs w:val="22"/>
        </w:rPr>
        <w:t xml:space="preserve"> and finished</w:t>
      </w:r>
      <w:r w:rsidRPr="00B71C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1000" w:rsidRPr="00B71C15">
        <w:rPr>
          <w:rFonts w:ascii="Arial" w:hAnsi="Arial" w:cs="Arial"/>
          <w:color w:val="000000" w:themeColor="text1"/>
          <w:sz w:val="22"/>
          <w:szCs w:val="22"/>
        </w:rPr>
        <w:t xml:space="preserve">dishes </w:t>
      </w:r>
      <w:r w:rsidRPr="00B71C15">
        <w:rPr>
          <w:rFonts w:ascii="Arial" w:hAnsi="Arial" w:cs="Arial"/>
          <w:color w:val="000000" w:themeColor="text1"/>
          <w:sz w:val="22"/>
          <w:szCs w:val="22"/>
        </w:rPr>
        <w:t>are stored correctly:</w:t>
      </w:r>
    </w:p>
    <w:p w14:paraId="26C0C164" w14:textId="6078A1B4" w:rsidR="00B71C15" w:rsidRPr="00B71C15" w:rsidRDefault="00B71C15" w:rsidP="00B71C15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  <w:lang w:val="en-US"/>
        </w:rPr>
      </w:pPr>
      <w:r w:rsidRPr="00B71C15">
        <w:rPr>
          <w:rFonts w:ascii="Arial" w:hAnsi="Arial" w:cs="Arial"/>
          <w:sz w:val="22"/>
          <w:szCs w:val="22"/>
          <w:lang w:val="en-US"/>
        </w:rPr>
        <w:t xml:space="preserve">Pupils </w:t>
      </w:r>
      <w:r w:rsidRPr="00B71C15">
        <w:rPr>
          <w:rFonts w:ascii="Arial" w:hAnsi="Arial" w:cs="Arial"/>
          <w:sz w:val="22"/>
          <w:szCs w:val="22"/>
          <w:lang w:val="en-US"/>
        </w:rPr>
        <w:t>should store</w:t>
      </w:r>
      <w:r w:rsidRPr="00B71C15">
        <w:rPr>
          <w:rFonts w:ascii="Arial" w:hAnsi="Arial" w:cs="Arial"/>
          <w:sz w:val="22"/>
          <w:szCs w:val="22"/>
          <w:lang w:val="en-US"/>
        </w:rPr>
        <w:t xml:space="preserve"> high risk ingredients (such as meat, fish and dairy products plus opened bottles, jars or tubes) in the fridge </w:t>
      </w:r>
      <w:r w:rsidRPr="00B71C15">
        <w:rPr>
          <w:rFonts w:ascii="Arial" w:hAnsi="Arial" w:cs="Arial"/>
          <w:sz w:val="22"/>
          <w:szCs w:val="22"/>
          <w:lang w:val="en-US"/>
        </w:rPr>
        <w:t xml:space="preserve">in the food room </w:t>
      </w:r>
      <w:r w:rsidRPr="00B71C15">
        <w:rPr>
          <w:rFonts w:ascii="Arial" w:hAnsi="Arial" w:cs="Arial"/>
          <w:sz w:val="22"/>
          <w:szCs w:val="22"/>
          <w:lang w:val="en-US"/>
        </w:rPr>
        <w:t>bef</w:t>
      </w:r>
      <w:r>
        <w:rPr>
          <w:rFonts w:ascii="Arial" w:hAnsi="Arial" w:cs="Arial"/>
          <w:sz w:val="22"/>
          <w:szCs w:val="22"/>
          <w:lang w:val="en-US"/>
        </w:rPr>
        <w:t>ore the start of the school day;</w:t>
      </w:r>
    </w:p>
    <w:p w14:paraId="7D4AA4D9" w14:textId="4290A89C" w:rsidR="00B71C15" w:rsidRPr="00B71C15" w:rsidRDefault="00B71C15" w:rsidP="00B71C15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  <w:lang w:val="en-US"/>
        </w:rPr>
      </w:pPr>
      <w:r w:rsidRPr="00B71C15">
        <w:rPr>
          <w:rFonts w:ascii="Arial" w:hAnsi="Arial" w:cs="Arial"/>
          <w:sz w:val="22"/>
          <w:szCs w:val="22"/>
          <w:lang w:val="en-US"/>
        </w:rPr>
        <w:t xml:space="preserve">Pupils </w:t>
      </w:r>
      <w:r w:rsidRPr="00B71C15">
        <w:rPr>
          <w:rFonts w:ascii="Arial" w:hAnsi="Arial" w:cs="Arial"/>
          <w:sz w:val="22"/>
          <w:szCs w:val="22"/>
          <w:lang w:val="en-US"/>
        </w:rPr>
        <w:t xml:space="preserve">should also </w:t>
      </w:r>
      <w:r w:rsidRPr="00B71C15">
        <w:rPr>
          <w:rFonts w:ascii="Arial" w:hAnsi="Arial" w:cs="Arial"/>
          <w:sz w:val="22"/>
          <w:szCs w:val="22"/>
          <w:lang w:val="en-US"/>
        </w:rPr>
        <w:t>store low risk ingredients in the food room before the start of the school day (such as flour, sugar, dried fruit, canned food, fresh fr</w:t>
      </w:r>
      <w:r>
        <w:rPr>
          <w:rFonts w:ascii="Arial" w:hAnsi="Arial" w:cs="Arial"/>
          <w:sz w:val="22"/>
          <w:szCs w:val="22"/>
          <w:lang w:val="en-US"/>
        </w:rPr>
        <w:t>uit, fresh vegetables and eggs);</w:t>
      </w:r>
    </w:p>
    <w:p w14:paraId="265DCF41" w14:textId="16803CD6" w:rsidR="0082100C" w:rsidRPr="00B71C15" w:rsidRDefault="00662D8C" w:rsidP="00B71C15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  <w:lang w:val="en-US"/>
        </w:rPr>
      </w:pPr>
      <w:r w:rsidRPr="00B71C15">
        <w:rPr>
          <w:rFonts w:ascii="Arial" w:hAnsi="Arial" w:cs="Arial"/>
          <w:sz w:val="22"/>
          <w:szCs w:val="22"/>
        </w:rPr>
        <w:t xml:space="preserve">all foods placed in the fridge must be wrapped and clearly labelled. </w:t>
      </w:r>
      <w:r w:rsidR="00B71C15" w:rsidRPr="00B71C15">
        <w:rPr>
          <w:rFonts w:ascii="Arial" w:hAnsi="Arial" w:cs="Arial"/>
          <w:sz w:val="22"/>
          <w:szCs w:val="22"/>
        </w:rPr>
        <w:t>B</w:t>
      </w:r>
      <w:r w:rsidRPr="00B71C15">
        <w:rPr>
          <w:rFonts w:ascii="Arial" w:hAnsi="Arial" w:cs="Arial"/>
          <w:sz w:val="22"/>
          <w:szCs w:val="22"/>
        </w:rPr>
        <w:t>ags that might have been on the floor should not be put in the fridge as this can cause cross-contamination;</w:t>
      </w:r>
    </w:p>
    <w:p w14:paraId="0755E270" w14:textId="4E7DC925" w:rsidR="00C01000" w:rsidRPr="00B71C15" w:rsidRDefault="00662D8C" w:rsidP="00054981">
      <w:pPr>
        <w:pStyle w:val="ListParagraph"/>
        <w:widowControl w:val="0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food containing allergenic ingredients should be stored separately;</w:t>
      </w:r>
    </w:p>
    <w:p w14:paraId="2903DC5A" w14:textId="604ADC7D" w:rsidR="00667D77" w:rsidRPr="00B71C15" w:rsidRDefault="00662D8C" w:rsidP="00054981">
      <w:pPr>
        <w:pStyle w:val="ListParagraph"/>
        <w:widowControl w:val="0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hot food should be coo</w:t>
      </w:r>
      <w:r w:rsidR="00A12B7D" w:rsidRPr="00B71C15">
        <w:rPr>
          <w:rFonts w:ascii="Arial" w:hAnsi="Arial" w:cs="Arial"/>
          <w:sz w:val="22"/>
          <w:szCs w:val="22"/>
        </w:rPr>
        <w:t>led quickly and stored below 5°C</w:t>
      </w:r>
      <w:r w:rsidRPr="00B71C15">
        <w:rPr>
          <w:rFonts w:ascii="Arial" w:hAnsi="Arial" w:cs="Arial"/>
          <w:sz w:val="22"/>
          <w:szCs w:val="22"/>
        </w:rPr>
        <w:t xml:space="preserve"> within 1-2 hours;</w:t>
      </w:r>
    </w:p>
    <w:p w14:paraId="0123734E" w14:textId="27B340C7" w:rsidR="00667D77" w:rsidRPr="00B71C15" w:rsidRDefault="00662D8C" w:rsidP="00054981">
      <w:pPr>
        <w:pStyle w:val="ListParagraph"/>
        <w:widowControl w:val="0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finished dishes should be stored appropriately in the food room until the end of the day;</w:t>
      </w:r>
    </w:p>
    <w:p w14:paraId="22C8D189" w14:textId="10A336B6" w:rsidR="00B71C15" w:rsidRPr="00B71C15" w:rsidRDefault="00B71C15" w:rsidP="00B71C15">
      <w:pPr>
        <w:pStyle w:val="ListParagraph"/>
        <w:numPr>
          <w:ilvl w:val="1"/>
          <w:numId w:val="20"/>
        </w:numPr>
        <w:spacing w:after="160" w:line="259" w:lineRule="auto"/>
        <w:rPr>
          <w:rFonts w:ascii="Arial" w:hAnsi="Arial" w:cs="Arial"/>
          <w:sz w:val="22"/>
          <w:szCs w:val="22"/>
          <w:lang w:val="en-US"/>
        </w:rPr>
      </w:pPr>
      <w:r w:rsidRPr="00B71C15">
        <w:rPr>
          <w:rFonts w:ascii="Arial" w:hAnsi="Arial" w:cs="Arial"/>
          <w:sz w:val="22"/>
          <w:szCs w:val="22"/>
        </w:rPr>
        <w:t>p</w:t>
      </w:r>
      <w:r w:rsidRPr="00B71C15">
        <w:rPr>
          <w:rFonts w:ascii="Arial" w:hAnsi="Arial" w:cs="Arial"/>
          <w:sz w:val="22"/>
          <w:szCs w:val="22"/>
        </w:rPr>
        <w:t xml:space="preserve">upils </w:t>
      </w:r>
      <w:r w:rsidRPr="00B71C15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be</w:t>
      </w:r>
      <w:r w:rsidRPr="00B71C15">
        <w:rPr>
          <w:rFonts w:ascii="Arial" w:hAnsi="Arial" w:cs="Arial"/>
          <w:sz w:val="22"/>
          <w:szCs w:val="22"/>
        </w:rPr>
        <w:t xml:space="preserve"> advised of reheating methods, times, temperatures and allergens in dishes made</w:t>
      </w:r>
      <w:r w:rsidRPr="00B71C15">
        <w:rPr>
          <w:rFonts w:ascii="Arial" w:hAnsi="Arial" w:cs="Arial"/>
          <w:sz w:val="22"/>
          <w:szCs w:val="22"/>
        </w:rPr>
        <w:t xml:space="preserve"> (</w:t>
      </w:r>
      <w:r w:rsidR="00BB0169">
        <w:rPr>
          <w:rFonts w:ascii="Arial" w:hAnsi="Arial" w:cs="Arial"/>
          <w:sz w:val="22"/>
          <w:szCs w:val="22"/>
        </w:rPr>
        <w:t xml:space="preserve">e.g. </w:t>
      </w:r>
      <w:r w:rsidRPr="00B71C15">
        <w:rPr>
          <w:rFonts w:ascii="Arial" w:hAnsi="Arial" w:cs="Arial"/>
          <w:sz w:val="22"/>
          <w:szCs w:val="22"/>
        </w:rPr>
        <w:t>labels placed on containers) where appropriate;</w:t>
      </w:r>
    </w:p>
    <w:p w14:paraId="3F10AB20" w14:textId="49DBC8AE" w:rsidR="00054981" w:rsidRPr="00B71C15" w:rsidRDefault="00662D8C" w:rsidP="00054981">
      <w:pPr>
        <w:pStyle w:val="ListParagraph"/>
        <w:widowControl w:val="0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proofErr w:type="gramStart"/>
      <w:r w:rsidRPr="00B71C15">
        <w:rPr>
          <w:rFonts w:ascii="Arial" w:hAnsi="Arial" w:cs="Arial"/>
          <w:sz w:val="22"/>
          <w:szCs w:val="22"/>
        </w:rPr>
        <w:t>dishes</w:t>
      </w:r>
      <w:proofErr w:type="gramEnd"/>
      <w:r w:rsidRPr="00B71C15">
        <w:rPr>
          <w:rFonts w:ascii="Arial" w:hAnsi="Arial" w:cs="Arial"/>
          <w:sz w:val="22"/>
          <w:szCs w:val="22"/>
        </w:rPr>
        <w:t xml:space="preserve"> not collected after 48 hours, or 24 hours for rice dishes, should be placed in food waste bins.</w:t>
      </w:r>
    </w:p>
    <w:p w14:paraId="5EA90F12" w14:textId="77777777" w:rsidR="00054981" w:rsidRPr="00B71C15" w:rsidRDefault="00054981" w:rsidP="00054981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p w14:paraId="10F753D4" w14:textId="1E024DCE" w:rsidR="00054981" w:rsidRPr="00B71C15" w:rsidRDefault="00054981" w:rsidP="00054981">
      <w:pPr>
        <w:pStyle w:val="ListParagraph"/>
        <w:widowControl w:val="0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Adopt a regular routine for getting ready to cook:</w:t>
      </w:r>
    </w:p>
    <w:p w14:paraId="596FA995" w14:textId="603A3176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remove blazers, and jumpers (if appropriate), on entering the food room;</w:t>
      </w:r>
    </w:p>
    <w:p w14:paraId="33886FB5" w14:textId="1B396154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r</w:t>
      </w:r>
      <w:r w:rsidR="00B71C15">
        <w:rPr>
          <w:rFonts w:ascii="Arial" w:hAnsi="Arial" w:cs="Arial"/>
          <w:sz w:val="22"/>
          <w:szCs w:val="22"/>
        </w:rPr>
        <w:t>emove nail varnish, jewellery and watches</w:t>
      </w:r>
      <w:r w:rsidRPr="00B71C15">
        <w:rPr>
          <w:rFonts w:ascii="Arial" w:hAnsi="Arial" w:cs="Arial"/>
          <w:sz w:val="22"/>
          <w:szCs w:val="22"/>
        </w:rPr>
        <w:t>;</w:t>
      </w:r>
    </w:p>
    <w:p w14:paraId="21824931" w14:textId="6DB0A221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keep school bags away from the food area;</w:t>
      </w:r>
    </w:p>
    <w:p w14:paraId="2C48C779" w14:textId="5FC47BA9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tie up long hair, ensuring it is not hanging down;</w:t>
      </w:r>
    </w:p>
    <w:p w14:paraId="0FC8E959" w14:textId="038D7483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secure long head scarves or coverings;</w:t>
      </w:r>
    </w:p>
    <w:p w14:paraId="64BB88E0" w14:textId="610583C7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roll up long sleeves;</w:t>
      </w:r>
    </w:p>
    <w:p w14:paraId="2B9D5544" w14:textId="5B8E3FE4" w:rsidR="00054981" w:rsidRPr="00B71C15" w:rsidRDefault="00054981" w:rsidP="00054981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thoroughly wash and dry hands;</w:t>
      </w:r>
    </w:p>
    <w:p w14:paraId="7C11F041" w14:textId="1DFB44B8" w:rsidR="00667D77" w:rsidRPr="00B71C15" w:rsidRDefault="00054981" w:rsidP="00667D77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proofErr w:type="gramStart"/>
      <w:r w:rsidRPr="00B71C15">
        <w:rPr>
          <w:rFonts w:ascii="Arial" w:hAnsi="Arial" w:cs="Arial"/>
          <w:sz w:val="22"/>
          <w:szCs w:val="22"/>
        </w:rPr>
        <w:t>put</w:t>
      </w:r>
      <w:proofErr w:type="gramEnd"/>
      <w:r w:rsidRPr="00B71C15">
        <w:rPr>
          <w:rFonts w:ascii="Arial" w:hAnsi="Arial" w:cs="Arial"/>
          <w:sz w:val="22"/>
          <w:szCs w:val="22"/>
        </w:rPr>
        <w:t xml:space="preserve"> on a clean apron.</w:t>
      </w:r>
    </w:p>
    <w:p w14:paraId="4B880BDA" w14:textId="77777777" w:rsidR="00667D77" w:rsidRPr="00B71C15" w:rsidRDefault="00667D77" w:rsidP="00667D77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p w14:paraId="7DAD6F30" w14:textId="1FEA4642" w:rsidR="00667D77" w:rsidRPr="00B71C15" w:rsidRDefault="00667D77" w:rsidP="00667D77">
      <w:pPr>
        <w:pStyle w:val="ListParagraph"/>
        <w:widowControl w:val="0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 xml:space="preserve">Demonstrate exemplary practical skills and food </w:t>
      </w:r>
      <w:r w:rsidR="00C01000" w:rsidRPr="00B71C15">
        <w:rPr>
          <w:rFonts w:ascii="Arial" w:hAnsi="Arial" w:cs="Arial"/>
          <w:sz w:val="22"/>
          <w:szCs w:val="22"/>
        </w:rPr>
        <w:t>hygiene and safety</w:t>
      </w:r>
      <w:r w:rsidRPr="00B71C15">
        <w:rPr>
          <w:rFonts w:ascii="Arial" w:hAnsi="Arial" w:cs="Arial"/>
          <w:sz w:val="22"/>
          <w:szCs w:val="22"/>
        </w:rPr>
        <w:t xml:space="preserve"> practices;</w:t>
      </w:r>
    </w:p>
    <w:p w14:paraId="5217BA78" w14:textId="7E803DBB" w:rsidR="00667D77" w:rsidRPr="00B71C15" w:rsidRDefault="00662D8C" w:rsidP="00667D77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use and store electrical equipment safely, e.g. food processors or blenders;</w:t>
      </w:r>
    </w:p>
    <w:p w14:paraId="7CC03C57" w14:textId="2D670122" w:rsidR="00667D77" w:rsidRPr="00B71C15" w:rsidRDefault="00662D8C" w:rsidP="00667D77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use clean, tidy and effective procedures for practical activities;</w:t>
      </w:r>
    </w:p>
    <w:p w14:paraId="403C1856" w14:textId="0DD87215" w:rsidR="00667D77" w:rsidRPr="00B71C15" w:rsidRDefault="00662D8C" w:rsidP="00667D77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use equipment correctly in order to prevent cross-contamination, e.g. red chopping board for raw meat;</w:t>
      </w:r>
    </w:p>
    <w:p w14:paraId="5B88C728" w14:textId="0B87D2E4" w:rsidR="00667D77" w:rsidRPr="00B71C15" w:rsidRDefault="00662D8C" w:rsidP="00667D77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avoid washing raw meat to prevent cross-contamination;</w:t>
      </w:r>
    </w:p>
    <w:p w14:paraId="6FEC092F" w14:textId="1183A784" w:rsidR="00C01000" w:rsidRPr="00B71C15" w:rsidRDefault="00662D8C" w:rsidP="00C01000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proofErr w:type="gramStart"/>
      <w:r w:rsidRPr="00B71C15">
        <w:rPr>
          <w:rFonts w:ascii="Arial" w:hAnsi="Arial" w:cs="Arial"/>
          <w:sz w:val="22"/>
          <w:szCs w:val="22"/>
        </w:rPr>
        <w:t>use</w:t>
      </w:r>
      <w:proofErr w:type="gramEnd"/>
      <w:r w:rsidRPr="00B71C15">
        <w:rPr>
          <w:rFonts w:ascii="Arial" w:hAnsi="Arial" w:cs="Arial"/>
          <w:sz w:val="22"/>
          <w:szCs w:val="22"/>
        </w:rPr>
        <w:t xml:space="preserve"> digital temperature probes to check the core temperature of food is at least 75°c (or 70°c for 2 minutes).</w:t>
      </w:r>
    </w:p>
    <w:p w14:paraId="5E4254A9" w14:textId="77777777" w:rsidR="00C01000" w:rsidRPr="00B71C15" w:rsidRDefault="00C01000" w:rsidP="00C01000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p w14:paraId="2BBC4161" w14:textId="49C05BEC" w:rsidR="00C01000" w:rsidRPr="00B71C15" w:rsidRDefault="00C01000" w:rsidP="00C01000">
      <w:pPr>
        <w:pStyle w:val="ListParagraph"/>
        <w:widowControl w:val="0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Follow hygienic and safe procedures for tasting and testing:</w:t>
      </w:r>
    </w:p>
    <w:p w14:paraId="341F2876" w14:textId="0DF8C002" w:rsidR="00C01000" w:rsidRPr="00B71C15" w:rsidRDefault="00662D8C" w:rsidP="00C01000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B71C15">
        <w:rPr>
          <w:rFonts w:ascii="Arial" w:hAnsi="Arial" w:cs="Arial"/>
          <w:sz w:val="22"/>
          <w:szCs w:val="22"/>
        </w:rPr>
        <w:t>check allergenic ingredients in food used for tasting or investigations;</w:t>
      </w:r>
    </w:p>
    <w:p w14:paraId="197398B7" w14:textId="60D7FB64" w:rsidR="00C27779" w:rsidRPr="00B71C15" w:rsidRDefault="00662D8C" w:rsidP="00C27779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proofErr w:type="gramStart"/>
      <w:r w:rsidRPr="00B71C15">
        <w:rPr>
          <w:rFonts w:ascii="Arial" w:hAnsi="Arial" w:cs="Arial"/>
          <w:sz w:val="22"/>
          <w:szCs w:val="22"/>
        </w:rPr>
        <w:t>ensure</w:t>
      </w:r>
      <w:proofErr w:type="gramEnd"/>
      <w:r w:rsidRPr="00B71C15">
        <w:rPr>
          <w:rFonts w:ascii="Arial" w:hAnsi="Arial" w:cs="Arial"/>
          <w:sz w:val="22"/>
          <w:szCs w:val="22"/>
        </w:rPr>
        <w:t xml:space="preserve"> that tasting is completed hygienically, e.g. no ‘double dipping’ or licking fingers.</w:t>
      </w:r>
    </w:p>
    <w:p w14:paraId="58D40BE9" w14:textId="0DE8AB05" w:rsidR="00C27779" w:rsidRPr="00C27779" w:rsidRDefault="00C27779" w:rsidP="00C27779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59AAF" wp14:editId="4990837A">
                <wp:simplePos x="0" y="0"/>
                <wp:positionH relativeFrom="column">
                  <wp:posOffset>-156210</wp:posOffset>
                </wp:positionH>
                <wp:positionV relativeFrom="paragraph">
                  <wp:posOffset>22225</wp:posOffset>
                </wp:positionV>
                <wp:extent cx="5608320" cy="3962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E1ED" w14:textId="31C7CB9A" w:rsidR="00C27779" w:rsidRPr="00C27779" w:rsidRDefault="00C27779" w:rsidP="00C27779">
                            <w:pPr>
                              <w:pStyle w:val="FFLSubHeaders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27779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Further guidance on good food hygiene and safety practices can be found in the </w:t>
                            </w:r>
                            <w:hyperlink r:id="rId8" w:history="1">
                              <w:r w:rsidRPr="00C27779">
                                <w:rPr>
                                  <w:rStyle w:val="Hyperlink"/>
                                  <w:b w:val="0"/>
                                  <w:sz w:val="20"/>
                                  <w:szCs w:val="20"/>
                                </w:rPr>
                                <w:t>Characteristics of good practice in teaching food and nutrition education</w:t>
                              </w:r>
                            </w:hyperlink>
                            <w:r w:rsidR="00D43169">
                              <w:rPr>
                                <w:b w:val="0"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31B652DF" w14:textId="77777777" w:rsidR="00C27779" w:rsidRDefault="00C27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59A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3pt;margin-top:1.75pt;width:441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" fillcolor="white [3201]" stroked="f" strokeweight=".5pt">
                <v:textbox>
                  <w:txbxContent>
                    <w:p w14:paraId="57E8E1ED" w14:textId="31C7CB9A" w:rsidR="00C27779" w:rsidRPr="00C27779" w:rsidRDefault="00C27779" w:rsidP="00C27779">
                      <w:pPr>
                        <w:pStyle w:val="FFLSubHeaders"/>
                        <w:rPr>
                          <w:b w:val="0"/>
                          <w:sz w:val="20"/>
                          <w:szCs w:val="20"/>
                        </w:rPr>
                      </w:pPr>
                      <w:r w:rsidRPr="00C27779">
                        <w:rPr>
                          <w:b w:val="0"/>
                          <w:sz w:val="20"/>
                          <w:szCs w:val="20"/>
                        </w:rPr>
                        <w:t xml:space="preserve">Further guidance on good food hygiene and safety practices can be found in the </w:t>
                      </w:r>
                      <w:hyperlink r:id="rId9" w:history="1">
                        <w:r w:rsidRPr="00C27779">
                          <w:rPr>
                            <w:rStyle w:val="Hyperlink"/>
                            <w:b w:val="0"/>
                            <w:sz w:val="20"/>
                            <w:szCs w:val="20"/>
                          </w:rPr>
                          <w:t>Characteristics of good practice in teaching food and nutrition education</w:t>
                        </w:r>
                      </w:hyperlink>
                      <w:r w:rsidR="00D43169">
                        <w:rPr>
                          <w:b w:val="0"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31B652DF" w14:textId="77777777" w:rsidR="00C27779" w:rsidRDefault="00C27779"/>
                  </w:txbxContent>
                </v:textbox>
              </v:shape>
            </w:pict>
          </mc:Fallback>
        </mc:AlternateContent>
      </w:r>
    </w:p>
    <w:sectPr w:rsidR="00C27779" w:rsidRPr="00C27779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6068B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71C1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CFD3FC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283499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82100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283499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82100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316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F9BAF89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594A6B"/>
    <w:multiLevelType w:val="hybridMultilevel"/>
    <w:tmpl w:val="601EBA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A70"/>
    <w:multiLevelType w:val="hybridMultilevel"/>
    <w:tmpl w:val="E6561B86"/>
    <w:lvl w:ilvl="0" w:tplc="1F2E90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D07BD0"/>
    <w:multiLevelType w:val="hybridMultilevel"/>
    <w:tmpl w:val="163C69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D2187C"/>
    <w:multiLevelType w:val="hybridMultilevel"/>
    <w:tmpl w:val="251E5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ED5B2A"/>
    <w:multiLevelType w:val="hybridMultilevel"/>
    <w:tmpl w:val="51F450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A5D03"/>
    <w:multiLevelType w:val="hybridMultilevel"/>
    <w:tmpl w:val="75300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55A4D"/>
    <w:multiLevelType w:val="hybridMultilevel"/>
    <w:tmpl w:val="FD3C7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007159"/>
    <w:multiLevelType w:val="hybridMultilevel"/>
    <w:tmpl w:val="5A98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16"/>
  </w:num>
  <w:num w:numId="18">
    <w:abstractNumId w:val="19"/>
  </w:num>
  <w:num w:numId="19">
    <w:abstractNumId w:val="13"/>
  </w:num>
  <w:num w:numId="20">
    <w:abstractNumId w:val="18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4981"/>
    <w:rsid w:val="000607C7"/>
    <w:rsid w:val="00077964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62D8C"/>
    <w:rsid w:val="00667D77"/>
    <w:rsid w:val="00674669"/>
    <w:rsid w:val="00740BD7"/>
    <w:rsid w:val="0074197B"/>
    <w:rsid w:val="0075606F"/>
    <w:rsid w:val="00764FD2"/>
    <w:rsid w:val="00777FBC"/>
    <w:rsid w:val="007A64E1"/>
    <w:rsid w:val="0082100C"/>
    <w:rsid w:val="0086115D"/>
    <w:rsid w:val="00862629"/>
    <w:rsid w:val="008A46A5"/>
    <w:rsid w:val="009312CE"/>
    <w:rsid w:val="0093502B"/>
    <w:rsid w:val="009360DC"/>
    <w:rsid w:val="009607A1"/>
    <w:rsid w:val="00984BFE"/>
    <w:rsid w:val="00A11D46"/>
    <w:rsid w:val="00A12B7D"/>
    <w:rsid w:val="00A86C75"/>
    <w:rsid w:val="00A90BFF"/>
    <w:rsid w:val="00AD3351"/>
    <w:rsid w:val="00AE7974"/>
    <w:rsid w:val="00B71C15"/>
    <w:rsid w:val="00BA5ED0"/>
    <w:rsid w:val="00BB0169"/>
    <w:rsid w:val="00C01000"/>
    <w:rsid w:val="00C27779"/>
    <w:rsid w:val="00C27CD8"/>
    <w:rsid w:val="00C346FC"/>
    <w:rsid w:val="00C46085"/>
    <w:rsid w:val="00C56155"/>
    <w:rsid w:val="00C94A2D"/>
    <w:rsid w:val="00C97A5C"/>
    <w:rsid w:val="00CB6105"/>
    <w:rsid w:val="00CE2205"/>
    <w:rsid w:val="00D053DB"/>
    <w:rsid w:val="00D07E98"/>
    <w:rsid w:val="00D13DB7"/>
    <w:rsid w:val="00D218C0"/>
    <w:rsid w:val="00D43169"/>
    <w:rsid w:val="00D778F2"/>
    <w:rsid w:val="00D82D30"/>
    <w:rsid w:val="00D85E9E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82100C"/>
    <w:pPr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7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afactoflife.org.uk/professional-development/ppd-toolkit/secondary/characteristics-of-good-practice-in-teaching-food-and-nutrition-education-in-secondary-school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odafactoflife.org.uk/professional-development/ppd-toolkit/secondary/characteristics-of-good-practice-in-teaching-food-and-nutrition-education-in-secondary-school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C62C24-1C57-4F65-9650-9B4E3F89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11</cp:revision>
  <cp:lastPrinted>2019-09-12T12:06:00Z</cp:lastPrinted>
  <dcterms:created xsi:type="dcterms:W3CDTF">2019-07-16T11:01:00Z</dcterms:created>
  <dcterms:modified xsi:type="dcterms:W3CDTF">2019-09-13T13:58:00Z</dcterms:modified>
</cp:coreProperties>
</file>