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CB" w:rsidRPr="00491FF7" w:rsidRDefault="00491FF7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491FF7">
        <w:rPr>
          <w:bCs w:val="0"/>
          <w:color w:val="EF9F3F"/>
          <w:sz w:val="44"/>
          <w:szCs w:val="44"/>
          <w:lang w:val="en-GB"/>
        </w:rPr>
        <w:t xml:space="preserve">Practical </w:t>
      </w:r>
      <w:r w:rsidR="007C4B57">
        <w:rPr>
          <w:bCs w:val="0"/>
          <w:color w:val="EF9F3F"/>
          <w:sz w:val="44"/>
          <w:szCs w:val="44"/>
          <w:lang w:val="en-GB"/>
        </w:rPr>
        <w:t>activity</w:t>
      </w:r>
      <w:r w:rsidRPr="00491FF7">
        <w:rPr>
          <w:bCs w:val="0"/>
          <w:color w:val="EF9F3F"/>
          <w:sz w:val="44"/>
          <w:szCs w:val="44"/>
          <w:lang w:val="en-GB"/>
        </w:rPr>
        <w:t xml:space="preserve"> </w:t>
      </w:r>
      <w:bookmarkStart w:id="0" w:name="_GoBack"/>
      <w:bookmarkEnd w:id="0"/>
      <w:r w:rsidRPr="00491FF7">
        <w:rPr>
          <w:bCs w:val="0"/>
          <w:color w:val="EF9F3F"/>
          <w:sz w:val="44"/>
          <w:szCs w:val="44"/>
          <w:lang w:val="en-GB"/>
        </w:rPr>
        <w:t>evaluation</w:t>
      </w:r>
    </w:p>
    <w:p w:rsidR="000D2013" w:rsidRDefault="000D2013" w:rsidP="000D2013">
      <w:pPr>
        <w:rPr>
          <w:color w:val="000000" w:themeColor="text1"/>
          <w:sz w:val="20"/>
          <w:szCs w:val="20"/>
        </w:rPr>
      </w:pPr>
    </w:p>
    <w:p w:rsidR="00A146CB" w:rsidRDefault="00491FF7" w:rsidP="00A146CB">
      <w:pPr>
        <w:pStyle w:val="FFLSubHeaders"/>
        <w:rPr>
          <w:b w:val="0"/>
        </w:rPr>
      </w:pPr>
      <w:r>
        <w:rPr>
          <w:b w:val="0"/>
        </w:rPr>
        <w:t xml:space="preserve">Complete the evaluation below </w:t>
      </w:r>
      <w:r w:rsidRPr="00491FF7">
        <w:t>after</w:t>
      </w:r>
      <w:r>
        <w:rPr>
          <w:b w:val="0"/>
        </w:rPr>
        <w:t xml:space="preserve"> your practical lesson.</w:t>
      </w:r>
    </w:p>
    <w:p w:rsidR="00491FF7" w:rsidRDefault="00491FF7" w:rsidP="00A146CB">
      <w:pPr>
        <w:pStyle w:val="FFLSubHeaders"/>
        <w:rPr>
          <w:b w:val="0"/>
        </w:rPr>
      </w:pPr>
    </w:p>
    <w:p w:rsidR="00491FF7" w:rsidRDefault="00491FF7" w:rsidP="00964A21">
      <w:pPr>
        <w:pStyle w:val="FFLSubHeaders"/>
        <w:numPr>
          <w:ilvl w:val="0"/>
          <w:numId w:val="16"/>
        </w:numPr>
        <w:ind w:left="360"/>
        <w:rPr>
          <w:b w:val="0"/>
        </w:rPr>
      </w:pPr>
      <w:r>
        <w:rPr>
          <w:b w:val="0"/>
        </w:rPr>
        <w:t xml:space="preserve">The task for today’s lesson was: </w:t>
      </w:r>
    </w:p>
    <w:p w:rsidR="00491FF7" w:rsidRDefault="00491FF7" w:rsidP="00964A21">
      <w:pPr>
        <w:pStyle w:val="FFLSubHeaders"/>
        <w:pBdr>
          <w:bottom w:val="single" w:sz="6" w:space="1" w:color="auto"/>
        </w:pBdr>
        <w:rPr>
          <w:b w:val="0"/>
        </w:rPr>
      </w:pPr>
    </w:p>
    <w:p w:rsidR="00491FF7" w:rsidRDefault="00491FF7" w:rsidP="00964A21">
      <w:pPr>
        <w:pStyle w:val="FFLSubHeaders"/>
        <w:rPr>
          <w:b w:val="0"/>
        </w:rPr>
      </w:pPr>
    </w:p>
    <w:p w:rsidR="00964A21" w:rsidRDefault="00491FF7" w:rsidP="00964A21">
      <w:pPr>
        <w:pStyle w:val="FFLSubHeaders"/>
        <w:numPr>
          <w:ilvl w:val="0"/>
          <w:numId w:val="16"/>
        </w:numPr>
        <w:pBdr>
          <w:bottom w:val="single" w:sz="6" w:space="1" w:color="auto"/>
        </w:pBdr>
        <w:ind w:left="360"/>
        <w:rPr>
          <w:b w:val="0"/>
        </w:rPr>
      </w:pPr>
      <w:r>
        <w:rPr>
          <w:b w:val="0"/>
        </w:rPr>
        <w:t>W</w:t>
      </w:r>
      <w:r w:rsidR="00964A21">
        <w:rPr>
          <w:b w:val="0"/>
        </w:rPr>
        <w:t>hat dish did you choose to make?</w:t>
      </w:r>
    </w:p>
    <w:p w:rsidR="00964A21" w:rsidRDefault="00964A21" w:rsidP="00964A21">
      <w:pPr>
        <w:pStyle w:val="FFLSubHeaders"/>
        <w:pBdr>
          <w:bottom w:val="single" w:sz="6" w:space="1" w:color="auto"/>
        </w:pBdr>
        <w:rPr>
          <w:b w:val="0"/>
        </w:rPr>
      </w:pPr>
    </w:p>
    <w:p w:rsidR="00491FF7" w:rsidRDefault="00491FF7" w:rsidP="00964A21">
      <w:pPr>
        <w:pStyle w:val="FFLSubHeaders"/>
        <w:ind w:left="360"/>
        <w:rPr>
          <w:b w:val="0"/>
        </w:rPr>
      </w:pPr>
    </w:p>
    <w:p w:rsidR="00491FF7" w:rsidRDefault="00491FF7" w:rsidP="00964A21">
      <w:pPr>
        <w:pStyle w:val="FFLSubHeaders"/>
        <w:numPr>
          <w:ilvl w:val="0"/>
          <w:numId w:val="16"/>
        </w:numPr>
        <w:ind w:left="360"/>
        <w:rPr>
          <w:b w:val="0"/>
        </w:rPr>
      </w:pPr>
      <w:r w:rsidRPr="00491FF7">
        <w:rPr>
          <w:b w:val="0"/>
        </w:rPr>
        <w:t>Explain how and why you made this decision</w:t>
      </w:r>
      <w:r w:rsidR="00B84FF4">
        <w:rPr>
          <w:b w:val="0"/>
        </w:rPr>
        <w:t>.</w:t>
      </w:r>
    </w:p>
    <w:p w:rsidR="00964A21" w:rsidRDefault="00964A21" w:rsidP="00964A21">
      <w:pPr>
        <w:pStyle w:val="FFLSubHeaders"/>
        <w:ind w:left="360"/>
        <w:rPr>
          <w:b w:val="0"/>
        </w:rPr>
      </w:pPr>
    </w:p>
    <w:p w:rsidR="00964A21" w:rsidRDefault="00964A21" w:rsidP="00964A21">
      <w:pPr>
        <w:pStyle w:val="FFLSubHeaders"/>
        <w:pBdr>
          <w:top w:val="single" w:sz="6" w:space="1" w:color="auto"/>
          <w:bottom w:val="single" w:sz="6" w:space="1" w:color="auto"/>
        </w:pBdr>
        <w:rPr>
          <w:b w:val="0"/>
        </w:rPr>
      </w:pPr>
      <w:r>
        <w:rPr>
          <w:b w:val="0"/>
        </w:rPr>
        <w:t xml:space="preserve"> </w:t>
      </w:r>
    </w:p>
    <w:p w:rsidR="00964A21" w:rsidRDefault="00964A21" w:rsidP="00964A21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:rsidR="00491FF7" w:rsidRDefault="00491FF7" w:rsidP="00964A21">
      <w:pPr>
        <w:pStyle w:val="FFLSubHeaders"/>
        <w:rPr>
          <w:b w:val="0"/>
        </w:rPr>
      </w:pPr>
    </w:p>
    <w:p w:rsidR="00491FF7" w:rsidRDefault="00491FF7" w:rsidP="00964A21">
      <w:pPr>
        <w:pStyle w:val="FFLSubHeaders"/>
        <w:numPr>
          <w:ilvl w:val="0"/>
          <w:numId w:val="16"/>
        </w:numPr>
        <w:ind w:left="360"/>
        <w:rPr>
          <w:b w:val="0"/>
        </w:rPr>
      </w:pPr>
      <w:r>
        <w:rPr>
          <w:b w:val="0"/>
        </w:rPr>
        <w:t>Tick the food skills that you secured and demonstrated when making the dish.</w:t>
      </w:r>
    </w:p>
    <w:p w:rsidR="00491FF7" w:rsidRDefault="00491FF7" w:rsidP="00491FF7">
      <w:pPr>
        <w:pStyle w:val="FFLSubHeaders"/>
        <w:rPr>
          <w:b w:val="0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1417"/>
        <w:gridCol w:w="567"/>
        <w:gridCol w:w="1276"/>
        <w:gridCol w:w="567"/>
        <w:gridCol w:w="1418"/>
        <w:gridCol w:w="567"/>
        <w:gridCol w:w="1275"/>
        <w:gridCol w:w="567"/>
      </w:tblGrid>
      <w:tr w:rsidR="00964A21" w:rsidRPr="00CE7F99" w:rsidTr="00147007">
        <w:tc>
          <w:tcPr>
            <w:tcW w:w="1418" w:type="dxa"/>
            <w:shd w:val="clear" w:color="auto" w:fill="F79646" w:themeFill="accent6"/>
          </w:tcPr>
          <w:p w:rsidR="00964A21" w:rsidRPr="00CE7F99" w:rsidRDefault="00964A21" w:rsidP="00147007">
            <w:pPr>
              <w:pStyle w:val="FFLSubHeaders"/>
              <w:rPr>
                <w:sz w:val="22"/>
                <w:szCs w:val="22"/>
              </w:rPr>
            </w:pPr>
            <w:r w:rsidRPr="00CE7F99">
              <w:rPr>
                <w:sz w:val="22"/>
                <w:szCs w:val="22"/>
              </w:rPr>
              <w:t>Food skill</w:t>
            </w:r>
          </w:p>
        </w:tc>
        <w:tc>
          <w:tcPr>
            <w:tcW w:w="567" w:type="dxa"/>
            <w:shd w:val="clear" w:color="auto" w:fill="F79646" w:themeFill="accent6"/>
          </w:tcPr>
          <w:p w:rsidR="00964A21" w:rsidRPr="00CE7F99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CE7F99">
              <w:rPr>
                <w:rStyle w:val="eop"/>
                <w:rFonts w:ascii="Segoe UI Symbol" w:hAnsi="Segoe UI Symbol" w:cs="Segoe UI Symbol"/>
                <w:sz w:val="22"/>
                <w:szCs w:val="22"/>
              </w:rPr>
              <w:t>✔</w:t>
            </w:r>
            <w:r w:rsidRPr="00CE7F9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964A21" w:rsidRPr="00CE7F99" w:rsidRDefault="00964A21" w:rsidP="00147007">
            <w:pPr>
              <w:pStyle w:val="FFLSubHeaders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79646" w:themeFill="accent6"/>
          </w:tcPr>
          <w:p w:rsidR="00964A21" w:rsidRPr="00CE7F99" w:rsidRDefault="00964A21" w:rsidP="00147007">
            <w:pPr>
              <w:pStyle w:val="FFLSubHeaders"/>
              <w:rPr>
                <w:sz w:val="22"/>
                <w:szCs w:val="22"/>
              </w:rPr>
            </w:pPr>
            <w:r w:rsidRPr="00CE7F99">
              <w:rPr>
                <w:sz w:val="22"/>
                <w:szCs w:val="22"/>
              </w:rPr>
              <w:t>Food skill</w:t>
            </w:r>
          </w:p>
        </w:tc>
        <w:tc>
          <w:tcPr>
            <w:tcW w:w="567" w:type="dxa"/>
            <w:shd w:val="clear" w:color="auto" w:fill="F79646" w:themeFill="accent6"/>
          </w:tcPr>
          <w:p w:rsidR="00964A21" w:rsidRPr="00CE7F99" w:rsidRDefault="00964A21" w:rsidP="00147007">
            <w:pPr>
              <w:pStyle w:val="FFLSubHeaders"/>
              <w:rPr>
                <w:sz w:val="22"/>
                <w:szCs w:val="22"/>
              </w:rPr>
            </w:pPr>
            <w:r w:rsidRPr="00CE7F99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1276" w:type="dxa"/>
            <w:shd w:val="clear" w:color="auto" w:fill="F79646" w:themeFill="accent6"/>
          </w:tcPr>
          <w:p w:rsidR="00964A21" w:rsidRPr="00CE7F99" w:rsidRDefault="00964A21" w:rsidP="00147007">
            <w:pPr>
              <w:pStyle w:val="FFLSubHeaders"/>
              <w:rPr>
                <w:sz w:val="22"/>
                <w:szCs w:val="22"/>
              </w:rPr>
            </w:pPr>
            <w:r w:rsidRPr="00CE7F99">
              <w:rPr>
                <w:sz w:val="22"/>
                <w:szCs w:val="22"/>
              </w:rPr>
              <w:t>Food skill</w:t>
            </w:r>
          </w:p>
        </w:tc>
        <w:tc>
          <w:tcPr>
            <w:tcW w:w="567" w:type="dxa"/>
            <w:shd w:val="clear" w:color="auto" w:fill="F79646" w:themeFill="accent6"/>
          </w:tcPr>
          <w:p w:rsidR="00964A21" w:rsidRPr="00CE7F99" w:rsidRDefault="00964A21" w:rsidP="00147007">
            <w:pPr>
              <w:pStyle w:val="FFLSubHeaders"/>
              <w:rPr>
                <w:sz w:val="22"/>
                <w:szCs w:val="22"/>
              </w:rPr>
            </w:pPr>
            <w:r w:rsidRPr="00CE7F99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1418" w:type="dxa"/>
            <w:shd w:val="clear" w:color="auto" w:fill="F79646" w:themeFill="accent6"/>
          </w:tcPr>
          <w:p w:rsidR="00964A21" w:rsidRPr="00CE7F99" w:rsidRDefault="00964A21" w:rsidP="00147007">
            <w:pPr>
              <w:pStyle w:val="FFLSubHeaders"/>
              <w:rPr>
                <w:sz w:val="22"/>
                <w:szCs w:val="22"/>
              </w:rPr>
            </w:pPr>
            <w:r w:rsidRPr="00CE7F99">
              <w:rPr>
                <w:sz w:val="22"/>
                <w:szCs w:val="22"/>
              </w:rPr>
              <w:t>Food skill</w:t>
            </w:r>
          </w:p>
        </w:tc>
        <w:tc>
          <w:tcPr>
            <w:tcW w:w="567" w:type="dxa"/>
            <w:shd w:val="clear" w:color="auto" w:fill="F79646" w:themeFill="accent6"/>
          </w:tcPr>
          <w:p w:rsidR="00964A21" w:rsidRPr="00CE7F99" w:rsidRDefault="00964A21" w:rsidP="00147007">
            <w:pPr>
              <w:pStyle w:val="FFLSubHeaders"/>
              <w:rPr>
                <w:sz w:val="22"/>
                <w:szCs w:val="22"/>
              </w:rPr>
            </w:pPr>
            <w:r w:rsidRPr="00CE7F99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1275" w:type="dxa"/>
            <w:shd w:val="clear" w:color="auto" w:fill="F79646" w:themeFill="accent6"/>
          </w:tcPr>
          <w:p w:rsidR="00964A21" w:rsidRPr="000712F5" w:rsidRDefault="00964A21" w:rsidP="00147007">
            <w:pPr>
              <w:pStyle w:val="FFLSubHeaders"/>
              <w:rPr>
                <w:sz w:val="22"/>
                <w:szCs w:val="22"/>
              </w:rPr>
            </w:pPr>
            <w:r w:rsidRPr="000712F5">
              <w:rPr>
                <w:sz w:val="22"/>
                <w:szCs w:val="22"/>
              </w:rPr>
              <w:t>Food skill</w:t>
            </w:r>
          </w:p>
        </w:tc>
        <w:tc>
          <w:tcPr>
            <w:tcW w:w="567" w:type="dxa"/>
            <w:shd w:val="clear" w:color="auto" w:fill="F79646" w:themeFill="accent6"/>
          </w:tcPr>
          <w:p w:rsidR="00964A21" w:rsidRPr="00CE7F99" w:rsidRDefault="00964A21" w:rsidP="00147007">
            <w:pPr>
              <w:pStyle w:val="FFLSubHeaders"/>
              <w:rPr>
                <w:rFonts w:ascii="Segoe UI Symbol" w:hAnsi="Segoe UI Symbol" w:cs="Segoe UI Symbol"/>
                <w:sz w:val="22"/>
                <w:szCs w:val="22"/>
              </w:rPr>
            </w:pPr>
            <w:r w:rsidRPr="00CE7F99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</w:tr>
      <w:tr w:rsidR="00964A21" w:rsidRPr="00CE7F99" w:rsidTr="00147007">
        <w:tc>
          <w:tcPr>
            <w:tcW w:w="1418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b w:val="0"/>
                <w:sz w:val="22"/>
                <w:szCs w:val="22"/>
              </w:rPr>
              <w:t>Bake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Fonts w:ascii="Arial" w:hAnsi="Arial" w:cs="Arial"/>
                <w:sz w:val="22"/>
                <w:szCs w:val="22"/>
              </w:rPr>
              <w:t>Cut out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rStyle w:val="normaltextrun"/>
                <w:b w:val="0"/>
                <w:sz w:val="22"/>
                <w:szCs w:val="22"/>
              </w:rPr>
              <w:t>Grate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Microwave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rStyle w:val="normaltextrun"/>
                <w:b w:val="0"/>
                <w:sz w:val="22"/>
                <w:szCs w:val="22"/>
              </w:rPr>
              <w:t>Rub-in</w:t>
            </w:r>
            <w:r w:rsidRPr="000712F5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:rsidR="00964A21" w:rsidRPr="00CE7F99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</w:tr>
      <w:tr w:rsidR="00964A21" w:rsidRPr="00CE7F99" w:rsidTr="00147007">
        <w:tc>
          <w:tcPr>
            <w:tcW w:w="1418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b w:val="0"/>
                <w:sz w:val="22"/>
                <w:szCs w:val="22"/>
              </w:rPr>
              <w:t>Beat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Cut, chop, slice, dice and trim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Grill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Mix, stir and combine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Sift</w:t>
            </w:r>
          </w:p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964A21" w:rsidRPr="00CE7F99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</w:tr>
      <w:tr w:rsidR="00964A21" w:rsidRPr="00CE7F99" w:rsidTr="00147007">
        <w:tc>
          <w:tcPr>
            <w:tcW w:w="1418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b w:val="0"/>
                <w:sz w:val="22"/>
                <w:szCs w:val="22"/>
              </w:rPr>
              <w:t>Blitz, puree and blend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Decorate and garnish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Juice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Peel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Snip</w:t>
            </w:r>
          </w:p>
        </w:tc>
        <w:tc>
          <w:tcPr>
            <w:tcW w:w="567" w:type="dxa"/>
          </w:tcPr>
          <w:p w:rsidR="00964A21" w:rsidRPr="00CE7F99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</w:tr>
      <w:tr w:rsidR="00964A21" w:rsidRPr="00CE7F99" w:rsidTr="00147007">
        <w:tc>
          <w:tcPr>
            <w:tcW w:w="1418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b w:val="0"/>
                <w:sz w:val="22"/>
                <w:szCs w:val="22"/>
              </w:rPr>
              <w:t>Casserole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Drain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Knead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Pipe</w:t>
            </w:r>
          </w:p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Spread</w:t>
            </w:r>
          </w:p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964A21" w:rsidRPr="00CE7F99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</w:tr>
      <w:tr w:rsidR="00964A21" w:rsidRPr="00CE7F99" w:rsidTr="00147007">
        <w:trPr>
          <w:trHeight w:val="497"/>
        </w:trPr>
        <w:tc>
          <w:tcPr>
            <w:tcW w:w="1418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b w:val="0"/>
                <w:sz w:val="22"/>
                <w:szCs w:val="22"/>
              </w:rPr>
              <w:t>Chill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Fold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Layer</w:t>
            </w:r>
          </w:p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Portion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/ divide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Stir-try</w:t>
            </w:r>
          </w:p>
        </w:tc>
        <w:tc>
          <w:tcPr>
            <w:tcW w:w="567" w:type="dxa"/>
          </w:tcPr>
          <w:p w:rsidR="00964A21" w:rsidRPr="00CE7F99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</w:tr>
      <w:tr w:rsidR="00964A21" w:rsidRPr="00CE7F99" w:rsidTr="00147007">
        <w:tc>
          <w:tcPr>
            <w:tcW w:w="1418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b w:val="0"/>
                <w:sz w:val="22"/>
                <w:szCs w:val="22"/>
              </w:rPr>
              <w:t>Core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Form and shape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</w:rPr>
              <w:t>Mash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Prove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Fonts w:ascii="Arial" w:hAnsi="Arial" w:cs="Arial"/>
                <w:sz w:val="22"/>
                <w:szCs w:val="22"/>
              </w:rPr>
              <w:t>Weigh</w:t>
            </w:r>
          </w:p>
        </w:tc>
        <w:tc>
          <w:tcPr>
            <w:tcW w:w="567" w:type="dxa"/>
          </w:tcPr>
          <w:p w:rsidR="00964A21" w:rsidRPr="00CE7F99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</w:tr>
      <w:tr w:rsidR="00964A21" w:rsidRPr="00CE7F99" w:rsidTr="00147007">
        <w:tc>
          <w:tcPr>
            <w:tcW w:w="1418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b w:val="0"/>
                <w:sz w:val="22"/>
                <w:szCs w:val="22"/>
              </w:rPr>
              <w:t>Cream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Fry and sauté           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</w:rPr>
              <w:t>Measure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Roast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Whisk</w:t>
            </w:r>
          </w:p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964A21" w:rsidRPr="00CE7F99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</w:tr>
      <w:tr w:rsidR="00964A21" w:rsidRPr="00CE7F99" w:rsidTr="00147007">
        <w:tc>
          <w:tcPr>
            <w:tcW w:w="1418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b w:val="0"/>
                <w:sz w:val="22"/>
                <w:szCs w:val="22"/>
              </w:rPr>
              <w:t xml:space="preserve">Crush 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Glaze and coat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Melt, simmer and boil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64A21" w:rsidRPr="000712F5" w:rsidRDefault="00964A21" w:rsidP="001470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Roll-</w:t>
            </w: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out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4A21" w:rsidRPr="000712F5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b w:val="0"/>
                <w:sz w:val="22"/>
                <w:szCs w:val="22"/>
              </w:rPr>
              <w:t>Zest</w:t>
            </w:r>
          </w:p>
        </w:tc>
        <w:tc>
          <w:tcPr>
            <w:tcW w:w="567" w:type="dxa"/>
          </w:tcPr>
          <w:p w:rsidR="00964A21" w:rsidRPr="00CE7F99" w:rsidRDefault="00964A21" w:rsidP="00147007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</w:tr>
    </w:tbl>
    <w:p w:rsidR="006C37DF" w:rsidRPr="006C37DF" w:rsidRDefault="006C37DF" w:rsidP="006C37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:rsidR="006C37DF" w:rsidRDefault="006C37DF" w:rsidP="006C37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6C37DF">
        <w:rPr>
          <w:rStyle w:val="eop"/>
          <w:rFonts w:ascii="Arial" w:hAnsi="Arial" w:cs="Arial"/>
          <w:sz w:val="20"/>
          <w:szCs w:val="20"/>
        </w:rPr>
        <w:t> </w:t>
      </w:r>
    </w:p>
    <w:p w:rsidR="00964A21" w:rsidRDefault="00964A21" w:rsidP="006C37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64A21" w:rsidRDefault="00964A21" w:rsidP="006C37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64A21" w:rsidRDefault="00964A21" w:rsidP="006C37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64A21" w:rsidRDefault="00964A21" w:rsidP="006C37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64A21" w:rsidRDefault="00964A21" w:rsidP="006C37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64A21" w:rsidRDefault="00964A21" w:rsidP="006C37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64A21" w:rsidRDefault="00964A21" w:rsidP="006C37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64A21" w:rsidRDefault="00964A21" w:rsidP="006C37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64A21" w:rsidRDefault="00964A21" w:rsidP="006C37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64A21" w:rsidRDefault="00964A21" w:rsidP="006C37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64A21" w:rsidRDefault="00964A21" w:rsidP="006C37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64A21" w:rsidRDefault="00964A21" w:rsidP="006C37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64A21" w:rsidRDefault="00964A21" w:rsidP="006C37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64A21" w:rsidRDefault="00964A21" w:rsidP="00964A21">
      <w:pPr>
        <w:pStyle w:val="FFLSubHeaders"/>
        <w:numPr>
          <w:ilvl w:val="0"/>
          <w:numId w:val="16"/>
        </w:numPr>
        <w:ind w:left="426" w:hanging="426"/>
        <w:rPr>
          <w:b w:val="0"/>
        </w:rPr>
      </w:pPr>
      <w:r>
        <w:rPr>
          <w:b w:val="0"/>
        </w:rPr>
        <w:t xml:space="preserve">Explain how you worked during your practical lesson. For example, did you keep to time, were you </w:t>
      </w:r>
      <w:proofErr w:type="spellStart"/>
      <w:r>
        <w:rPr>
          <w:b w:val="0"/>
        </w:rPr>
        <w:t>organised</w:t>
      </w:r>
      <w:proofErr w:type="spellEnd"/>
      <w:r>
        <w:rPr>
          <w:b w:val="0"/>
        </w:rPr>
        <w:t>, were you safe and hygienic? Include any improvements you could make during your next practical lesson.</w:t>
      </w:r>
    </w:p>
    <w:p w:rsidR="00964A21" w:rsidRPr="00C10F50" w:rsidRDefault="00964A21" w:rsidP="00964A21">
      <w:pPr>
        <w:pStyle w:val="FFLSubHeaders"/>
        <w:ind w:left="720"/>
        <w:rPr>
          <w:b w:val="0"/>
        </w:rPr>
      </w:pPr>
    </w:p>
    <w:p w:rsidR="00964A21" w:rsidRPr="00C10F50" w:rsidRDefault="00964A21" w:rsidP="00964A21">
      <w:pPr>
        <w:pStyle w:val="FFLSubHeaders"/>
        <w:pBdr>
          <w:top w:val="single" w:sz="6" w:space="1" w:color="auto"/>
          <w:bottom w:val="single" w:sz="6" w:space="1" w:color="auto"/>
        </w:pBdr>
        <w:rPr>
          <w:b w:val="0"/>
        </w:rPr>
      </w:pPr>
      <w:r w:rsidRPr="00C10F50">
        <w:rPr>
          <w:b w:val="0"/>
        </w:rPr>
        <w:t xml:space="preserve"> </w:t>
      </w:r>
    </w:p>
    <w:p w:rsidR="00964A21" w:rsidRPr="00C10F50" w:rsidRDefault="00964A21" w:rsidP="00964A21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:rsidR="00964A21" w:rsidRPr="00C10F50" w:rsidRDefault="00964A21" w:rsidP="00964A21">
      <w:pPr>
        <w:pStyle w:val="FFLSubHeaders"/>
        <w:rPr>
          <w:b w:val="0"/>
        </w:rPr>
      </w:pPr>
    </w:p>
    <w:p w:rsidR="00964A21" w:rsidRPr="00C10F50" w:rsidRDefault="00964A21" w:rsidP="00964A21">
      <w:pPr>
        <w:pStyle w:val="FFLSubHeaders"/>
        <w:pBdr>
          <w:top w:val="single" w:sz="6" w:space="1" w:color="auto"/>
          <w:bottom w:val="single" w:sz="6" w:space="1" w:color="auto"/>
        </w:pBdr>
        <w:rPr>
          <w:b w:val="0"/>
        </w:rPr>
      </w:pPr>
      <w:r w:rsidRPr="00C10F50">
        <w:rPr>
          <w:b w:val="0"/>
        </w:rPr>
        <w:t xml:space="preserve"> </w:t>
      </w:r>
    </w:p>
    <w:p w:rsidR="00964A21" w:rsidRDefault="00964A21" w:rsidP="00964A21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:rsidR="00964A21" w:rsidRDefault="00964A21" w:rsidP="00964A21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:rsidR="00964A21" w:rsidRDefault="00964A21" w:rsidP="00964A21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:rsidR="00964A21" w:rsidRDefault="00964A21" w:rsidP="00964A21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:rsidR="00964A21" w:rsidRDefault="00964A21" w:rsidP="00964A21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:rsidR="00964A21" w:rsidRDefault="00964A21" w:rsidP="006C37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64A21" w:rsidRDefault="00964A21" w:rsidP="006C37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64A21" w:rsidRDefault="00964A21" w:rsidP="00964A21">
      <w:pPr>
        <w:pStyle w:val="FFLSubHeaders"/>
        <w:numPr>
          <w:ilvl w:val="0"/>
          <w:numId w:val="16"/>
        </w:numPr>
        <w:ind w:left="426" w:hanging="426"/>
        <w:rPr>
          <w:b w:val="0"/>
          <w:bCs w:val="0"/>
        </w:rPr>
      </w:pPr>
      <w:r>
        <w:rPr>
          <w:b w:val="0"/>
          <w:bCs w:val="0"/>
        </w:rPr>
        <w:t>Describe your finished dish. Include whether it met the criteria. Explain any further modifications you would make, with reasons.</w:t>
      </w:r>
    </w:p>
    <w:p w:rsidR="00964A21" w:rsidRPr="00C10F50" w:rsidRDefault="00964A21" w:rsidP="00964A21">
      <w:pPr>
        <w:pStyle w:val="FFLSubHeaders"/>
        <w:ind w:left="360"/>
        <w:rPr>
          <w:b w:val="0"/>
        </w:rPr>
      </w:pPr>
    </w:p>
    <w:p w:rsidR="00964A21" w:rsidRPr="00C10F50" w:rsidRDefault="00964A21" w:rsidP="00964A21">
      <w:pPr>
        <w:pStyle w:val="FFLSubHeaders"/>
        <w:pBdr>
          <w:top w:val="single" w:sz="6" w:space="1" w:color="auto"/>
          <w:bottom w:val="single" w:sz="6" w:space="1" w:color="auto"/>
        </w:pBdr>
        <w:rPr>
          <w:b w:val="0"/>
        </w:rPr>
      </w:pPr>
      <w:r w:rsidRPr="00C10F50">
        <w:rPr>
          <w:b w:val="0"/>
        </w:rPr>
        <w:t xml:space="preserve"> </w:t>
      </w:r>
    </w:p>
    <w:p w:rsidR="00964A21" w:rsidRPr="00C10F50" w:rsidRDefault="00964A21" w:rsidP="00964A21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:rsidR="00964A21" w:rsidRPr="00C10F50" w:rsidRDefault="00964A21" w:rsidP="00964A21">
      <w:pPr>
        <w:pStyle w:val="FFLSubHeaders"/>
        <w:rPr>
          <w:b w:val="0"/>
        </w:rPr>
      </w:pPr>
    </w:p>
    <w:p w:rsidR="00964A21" w:rsidRPr="00C10F50" w:rsidRDefault="00964A21" w:rsidP="00964A21">
      <w:pPr>
        <w:pStyle w:val="FFLSubHeaders"/>
        <w:pBdr>
          <w:top w:val="single" w:sz="6" w:space="1" w:color="auto"/>
          <w:bottom w:val="single" w:sz="6" w:space="1" w:color="auto"/>
        </w:pBdr>
        <w:rPr>
          <w:b w:val="0"/>
        </w:rPr>
      </w:pPr>
      <w:r w:rsidRPr="00C10F50">
        <w:rPr>
          <w:b w:val="0"/>
        </w:rPr>
        <w:t xml:space="preserve"> </w:t>
      </w:r>
    </w:p>
    <w:p w:rsidR="00964A21" w:rsidRPr="00C10F50" w:rsidRDefault="00964A21" w:rsidP="00964A21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:rsidR="00964A21" w:rsidRDefault="00964A21" w:rsidP="00964A21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:rsidR="00964A21" w:rsidRDefault="00964A21" w:rsidP="00964A21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:rsidR="00964A21" w:rsidRDefault="00964A21" w:rsidP="00964A21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:rsidR="00964A21" w:rsidRDefault="00964A21" w:rsidP="00964A21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:rsidR="00266725" w:rsidRDefault="00266725" w:rsidP="00266725">
      <w:pPr>
        <w:pStyle w:val="FFLSubHeaders"/>
        <w:rPr>
          <w:b w:val="0"/>
        </w:rPr>
      </w:pPr>
    </w:p>
    <w:p w:rsidR="00964A21" w:rsidRDefault="00964A21" w:rsidP="00964A21">
      <w:pPr>
        <w:pStyle w:val="FFLSubHeaders"/>
        <w:numPr>
          <w:ilvl w:val="0"/>
          <w:numId w:val="16"/>
        </w:numPr>
        <w:tabs>
          <w:tab w:val="left" w:pos="426"/>
        </w:tabs>
        <w:ind w:left="426" w:hanging="426"/>
        <w:rPr>
          <w:b w:val="0"/>
          <w:bCs w:val="0"/>
        </w:rPr>
      </w:pPr>
      <w:r>
        <w:rPr>
          <w:b w:val="0"/>
          <w:bCs w:val="0"/>
        </w:rPr>
        <w:t xml:space="preserve">Ask two family members or friends to taste your dish and comment on the </w:t>
      </w:r>
      <w:r>
        <w:t>appearance, texture</w:t>
      </w:r>
      <w:r>
        <w:rPr>
          <w:b w:val="0"/>
          <w:bCs w:val="0"/>
        </w:rPr>
        <w:t xml:space="preserve"> or </w:t>
      </w:r>
      <w:r>
        <w:t xml:space="preserve">taste. </w:t>
      </w:r>
      <w:r>
        <w:rPr>
          <w:b w:val="0"/>
          <w:bCs w:val="0"/>
        </w:rPr>
        <w:t>Write their comments</w:t>
      </w:r>
      <w:r>
        <w:t xml:space="preserve"> </w:t>
      </w:r>
      <w:r>
        <w:rPr>
          <w:b w:val="0"/>
          <w:bCs w:val="0"/>
        </w:rPr>
        <w:t xml:space="preserve">below. Encourage them to use descriptive vocabulary, e.g. spicy, creamy, smooth, </w:t>
      </w:r>
      <w:proofErr w:type="gramStart"/>
      <w:r>
        <w:rPr>
          <w:b w:val="0"/>
          <w:bCs w:val="0"/>
        </w:rPr>
        <w:t>lumpy</w:t>
      </w:r>
      <w:proofErr w:type="gramEnd"/>
      <w:r>
        <w:rPr>
          <w:b w:val="0"/>
          <w:bCs w:val="0"/>
        </w:rPr>
        <w:t>.</w:t>
      </w:r>
    </w:p>
    <w:p w:rsidR="00964A21" w:rsidRDefault="00964A21" w:rsidP="00964A21">
      <w:pPr>
        <w:pStyle w:val="FFLSubHeaders"/>
        <w:ind w:left="360"/>
        <w:rPr>
          <w:b w:val="0"/>
        </w:rPr>
      </w:pPr>
    </w:p>
    <w:p w:rsidR="00964A21" w:rsidRDefault="00964A21" w:rsidP="00964A21">
      <w:pPr>
        <w:pStyle w:val="FFLSubHeaders"/>
        <w:numPr>
          <w:ilvl w:val="0"/>
          <w:numId w:val="20"/>
        </w:numPr>
        <w:rPr>
          <w:b w:val="0"/>
        </w:rPr>
      </w:pPr>
    </w:p>
    <w:p w:rsidR="00964A21" w:rsidRDefault="00964A21" w:rsidP="00964A21">
      <w:pPr>
        <w:pStyle w:val="FFLSubHeaders"/>
        <w:pBdr>
          <w:top w:val="single" w:sz="6" w:space="1" w:color="auto"/>
          <w:bottom w:val="single" w:sz="6" w:space="1" w:color="auto"/>
        </w:pBdr>
        <w:ind w:left="720"/>
        <w:rPr>
          <w:b w:val="0"/>
        </w:rPr>
      </w:pPr>
    </w:p>
    <w:p w:rsidR="00964A21" w:rsidRDefault="00964A21" w:rsidP="00964A21">
      <w:pPr>
        <w:pStyle w:val="FFLSubHeaders"/>
        <w:pBdr>
          <w:bottom w:val="single" w:sz="6" w:space="1" w:color="auto"/>
          <w:between w:val="single" w:sz="6" w:space="1" w:color="auto"/>
        </w:pBdr>
        <w:ind w:left="720"/>
        <w:rPr>
          <w:b w:val="0"/>
        </w:rPr>
      </w:pPr>
    </w:p>
    <w:p w:rsidR="00964A21" w:rsidRDefault="00964A21" w:rsidP="00964A21">
      <w:pPr>
        <w:pStyle w:val="FFLSubHeaders"/>
        <w:ind w:left="360"/>
        <w:rPr>
          <w:b w:val="0"/>
        </w:rPr>
      </w:pPr>
    </w:p>
    <w:p w:rsidR="00964A21" w:rsidRDefault="00964A21" w:rsidP="00964A21">
      <w:pPr>
        <w:pStyle w:val="FFLSubHeaders"/>
        <w:numPr>
          <w:ilvl w:val="0"/>
          <w:numId w:val="20"/>
        </w:numPr>
        <w:rPr>
          <w:b w:val="0"/>
        </w:rPr>
      </w:pPr>
    </w:p>
    <w:p w:rsidR="00964A21" w:rsidRDefault="00964A21" w:rsidP="00964A21">
      <w:pPr>
        <w:pStyle w:val="FFLSubHeaders"/>
        <w:pBdr>
          <w:top w:val="single" w:sz="6" w:space="1" w:color="auto"/>
          <w:bottom w:val="single" w:sz="6" w:space="1" w:color="auto"/>
        </w:pBdr>
        <w:ind w:left="720"/>
        <w:rPr>
          <w:b w:val="0"/>
        </w:rPr>
      </w:pPr>
    </w:p>
    <w:p w:rsidR="00964A21" w:rsidRDefault="00964A21" w:rsidP="00964A21">
      <w:pPr>
        <w:pStyle w:val="FFLSubHeaders"/>
        <w:pBdr>
          <w:bottom w:val="single" w:sz="6" w:space="1" w:color="auto"/>
          <w:between w:val="single" w:sz="6" w:space="1" w:color="auto"/>
        </w:pBdr>
        <w:ind w:left="720"/>
        <w:rPr>
          <w:b w:val="0"/>
        </w:rPr>
      </w:pPr>
    </w:p>
    <w:p w:rsidR="00BF756A" w:rsidRPr="00CE7F99" w:rsidRDefault="00BF756A" w:rsidP="00964A21">
      <w:pPr>
        <w:pStyle w:val="FFLSubHeaders"/>
        <w:rPr>
          <w:b w:val="0"/>
        </w:rPr>
      </w:pPr>
    </w:p>
    <w:sectPr w:rsidR="00BF756A" w:rsidRPr="00CE7F99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3E1" w:rsidRDefault="001B13E1" w:rsidP="00A11D46">
      <w:r>
        <w:separator/>
      </w:r>
    </w:p>
  </w:endnote>
  <w:endnote w:type="continuationSeparator" w:id="0">
    <w:p w:rsidR="001B13E1" w:rsidRDefault="001B13E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B84FF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B84FF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C4B5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F2DF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F2DF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C4B5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3E1" w:rsidRDefault="001B13E1" w:rsidP="00A11D46">
      <w:r>
        <w:separator/>
      </w:r>
    </w:p>
  </w:footnote>
  <w:footnote w:type="continuationSeparator" w:id="0">
    <w:p w:rsidR="001B13E1" w:rsidRDefault="001B13E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F13EFE"/>
    <w:multiLevelType w:val="hybridMultilevel"/>
    <w:tmpl w:val="374CEE6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1F313B"/>
    <w:multiLevelType w:val="hybridMultilevel"/>
    <w:tmpl w:val="D396B0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57571"/>
    <w:multiLevelType w:val="hybridMultilevel"/>
    <w:tmpl w:val="A8623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B6461"/>
    <w:multiLevelType w:val="hybridMultilevel"/>
    <w:tmpl w:val="88CC68F0"/>
    <w:lvl w:ilvl="0" w:tplc="2696A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EC7441"/>
    <w:multiLevelType w:val="hybridMultilevel"/>
    <w:tmpl w:val="6E88C1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564111"/>
    <w:multiLevelType w:val="hybridMultilevel"/>
    <w:tmpl w:val="07989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7"/>
  </w:num>
  <w:num w:numId="17">
    <w:abstractNumId w:val="12"/>
  </w:num>
  <w:num w:numId="18">
    <w:abstractNumId w:val="15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D2013"/>
    <w:rsid w:val="00190FAE"/>
    <w:rsid w:val="001B13E1"/>
    <w:rsid w:val="001D7B2A"/>
    <w:rsid w:val="00207670"/>
    <w:rsid w:val="0023298F"/>
    <w:rsid w:val="002462A0"/>
    <w:rsid w:val="0025265E"/>
    <w:rsid w:val="00266725"/>
    <w:rsid w:val="00294071"/>
    <w:rsid w:val="003A0068"/>
    <w:rsid w:val="003D43C9"/>
    <w:rsid w:val="003D5E2F"/>
    <w:rsid w:val="004031F1"/>
    <w:rsid w:val="0040429D"/>
    <w:rsid w:val="00407274"/>
    <w:rsid w:val="0043230E"/>
    <w:rsid w:val="00432527"/>
    <w:rsid w:val="00491FF7"/>
    <w:rsid w:val="004D42CC"/>
    <w:rsid w:val="004D79EB"/>
    <w:rsid w:val="00513C03"/>
    <w:rsid w:val="0054010D"/>
    <w:rsid w:val="005B23EC"/>
    <w:rsid w:val="005F2DF9"/>
    <w:rsid w:val="00603780"/>
    <w:rsid w:val="00671C13"/>
    <w:rsid w:val="00674669"/>
    <w:rsid w:val="00694E38"/>
    <w:rsid w:val="006C37DF"/>
    <w:rsid w:val="00740BD7"/>
    <w:rsid w:val="0075606F"/>
    <w:rsid w:val="00764FD2"/>
    <w:rsid w:val="007A64E1"/>
    <w:rsid w:val="007C4B57"/>
    <w:rsid w:val="00862629"/>
    <w:rsid w:val="008B3749"/>
    <w:rsid w:val="009168BC"/>
    <w:rsid w:val="0093502B"/>
    <w:rsid w:val="009360DC"/>
    <w:rsid w:val="009607A1"/>
    <w:rsid w:val="00964A21"/>
    <w:rsid w:val="00970DC8"/>
    <w:rsid w:val="00984BFE"/>
    <w:rsid w:val="00A11D46"/>
    <w:rsid w:val="00A146CB"/>
    <w:rsid w:val="00A46645"/>
    <w:rsid w:val="00A72E9F"/>
    <w:rsid w:val="00A86C75"/>
    <w:rsid w:val="00A90BFF"/>
    <w:rsid w:val="00AB499F"/>
    <w:rsid w:val="00AE7974"/>
    <w:rsid w:val="00B80832"/>
    <w:rsid w:val="00B84FF4"/>
    <w:rsid w:val="00BA5ED0"/>
    <w:rsid w:val="00BF756A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CE7F99"/>
    <w:rsid w:val="00D07E98"/>
    <w:rsid w:val="00D13DB7"/>
    <w:rsid w:val="00D218C0"/>
    <w:rsid w:val="00D82D30"/>
    <w:rsid w:val="00DC401F"/>
    <w:rsid w:val="00E03FCF"/>
    <w:rsid w:val="00E16E32"/>
    <w:rsid w:val="00EA578D"/>
    <w:rsid w:val="00EC7829"/>
    <w:rsid w:val="00F07212"/>
    <w:rsid w:val="00F15950"/>
    <w:rsid w:val="00F37D16"/>
    <w:rsid w:val="00F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1B597F"/>
  <w14:defaultImageDpi w14:val="300"/>
  <w15:docId w15:val="{8F7AE89F-AEFF-4A93-BCF2-C8658370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A72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E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E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E9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91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C37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6C37DF"/>
  </w:style>
  <w:style w:type="character" w:customStyle="1" w:styleId="eop">
    <w:name w:val="eop"/>
    <w:basedOn w:val="DefaultParagraphFont"/>
    <w:rsid w:val="006C3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E9F35FA-F4DA-49A4-8BA7-57F636FC8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D3B97-AFF5-491E-A43F-913A6525B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1F9EC-8F03-4B79-8DB4-589FA04D9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267031-8009-4032-B239-9C0B805F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2020-05-06T11:28:00Z</dcterms:created>
  <dcterms:modified xsi:type="dcterms:W3CDTF">2020-05-21T16:20:00Z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